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D77" w:rsidRDefault="00202C68">
      <w:pPr>
        <w:spacing w:before="480"/>
        <w:rPr>
          <w:rFonts w:ascii="Crimson" w:eastAsia="Crimson" w:hAnsi="Crimson" w:cs="Crimson"/>
          <w:b/>
        </w:rPr>
      </w:pPr>
      <w:r>
        <w:rPr>
          <w:rFonts w:ascii="Crimson" w:eastAsia="Crimson" w:hAnsi="Crimson" w:cs="Crimson"/>
          <w:b/>
        </w:rPr>
        <w:t>GUIDED PATHWAYS ESSENTIAL PRACTICES: SCALE OF ADOPTION SELF-ASSESSMENT</w:t>
      </w:r>
    </w:p>
    <w:p w:rsidR="009B6D77" w:rsidRDefault="00202C68">
      <w:pPr>
        <w:rPr>
          <w:rFonts w:ascii="Crimson" w:eastAsia="Crimson" w:hAnsi="Crimson" w:cs="Crimson"/>
          <w:b/>
        </w:rPr>
      </w:pPr>
      <w:r>
        <w:rPr>
          <w:rFonts w:ascii="Crimson" w:eastAsia="Crimson" w:hAnsi="Crimson" w:cs="Crimson"/>
          <w:b/>
        </w:rPr>
        <w:t>CALIFORNIA COMMU</w:t>
      </w:r>
      <w:bookmarkStart w:id="0" w:name="_GoBack"/>
      <w:bookmarkEnd w:id="0"/>
      <w:r>
        <w:rPr>
          <w:rFonts w:ascii="Crimson" w:eastAsia="Crimson" w:hAnsi="Crimson" w:cs="Crimson"/>
          <w:b/>
        </w:rPr>
        <w:t>NITY COLLEGES’ ASSESSMENT OF PROGRESS IN THE IMPLEMENTING OF GUIDED PATHWAYS</w:t>
      </w:r>
    </w:p>
    <w:p w:rsidR="009B6D77" w:rsidRDefault="00202C68">
      <w:pPr>
        <w:spacing w:after="240"/>
        <w:rPr>
          <w:rFonts w:ascii="Source Sans Pro" w:eastAsia="Source Sans Pro" w:hAnsi="Source Sans Pro" w:cs="Source Sans Pro"/>
          <w:sz w:val="22"/>
          <w:szCs w:val="22"/>
        </w:rPr>
      </w:pPr>
      <w:r>
        <w:rPr>
          <w:rFonts w:ascii="Source Sans Pro" w:eastAsia="Source Sans Pro" w:hAnsi="Source Sans Pro" w:cs="Source Sans Pro"/>
          <w:sz w:val="22"/>
          <w:szCs w:val="22"/>
        </w:rPr>
        <w:t>Revised February 2019, November 2019</w:t>
      </w:r>
    </w:p>
    <w:p w:rsidR="009B6D77" w:rsidRDefault="00202C68">
      <w:pPr>
        <w:spacing w:after="240"/>
        <w:rPr>
          <w:rFonts w:ascii="Source Sans Pro" w:eastAsia="Source Sans Pro" w:hAnsi="Source Sans Pro" w:cs="Source Sans Pro"/>
          <w:b/>
          <w:sz w:val="22"/>
          <w:szCs w:val="22"/>
        </w:rPr>
      </w:pPr>
      <w:r>
        <w:rPr>
          <w:rFonts w:ascii="Crimson" w:eastAsia="Crimson" w:hAnsi="Crimson" w:cs="Crimson"/>
          <w:b/>
          <w:sz w:val="22"/>
          <w:szCs w:val="22"/>
        </w:rPr>
        <w:t xml:space="preserve">Institution Name:  </w:t>
      </w:r>
      <w:r>
        <w:rPr>
          <w:rFonts w:ascii="Crimson" w:eastAsia="Crimson" w:hAnsi="Crimson" w:cs="Crimson"/>
          <w:b/>
          <w:sz w:val="22"/>
          <w:szCs w:val="22"/>
        </w:rPr>
        <w:tab/>
        <w:t>American River College</w:t>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Source Sans Pro" w:eastAsia="Source Sans Pro" w:hAnsi="Source Sans Pro" w:cs="Source Sans Pro"/>
          <w:b/>
          <w:sz w:val="22"/>
          <w:szCs w:val="22"/>
        </w:rPr>
        <w:tab/>
      </w:r>
      <w:r>
        <w:rPr>
          <w:rFonts w:ascii="Crimson" w:eastAsia="Crimson" w:hAnsi="Crimson" w:cs="Crimson"/>
          <w:b/>
          <w:sz w:val="22"/>
          <w:szCs w:val="22"/>
        </w:rPr>
        <w:t xml:space="preserve">Date: </w:t>
      </w:r>
    </w:p>
    <w:p w:rsidR="009B6D77" w:rsidRDefault="00202C68">
      <w:pPr>
        <w:shd w:val="clear" w:color="auto" w:fill="FFFFFF"/>
        <w:jc w:val="both"/>
        <w:rPr>
          <w:rFonts w:ascii="Source Sans Pro" w:eastAsia="Source Sans Pro" w:hAnsi="Source Sans Pro" w:cs="Source Sans Pro"/>
          <w:color w:val="C00000"/>
          <w:sz w:val="22"/>
          <w:szCs w:val="22"/>
        </w:rPr>
      </w:pPr>
      <w:r>
        <w:rPr>
          <w:rFonts w:ascii="Source Sans Pro" w:eastAsia="Source Sans Pro" w:hAnsi="Source Sans Pro" w:cs="Source Sans Pro"/>
          <w:sz w:val="22"/>
          <w:szCs w:val="22"/>
        </w:rPr>
        <w:t>This tool is designed to help your college assess how far along you are toward adopting essential guided pathways practices at scale. The first part of the Scale of Adoption Assessment (SOAA) includes essential practices examined in CCRC’s book,</w:t>
      </w:r>
      <w:r>
        <w:rPr>
          <w:rFonts w:ascii="Source Sans Pro" w:eastAsia="Source Sans Pro" w:hAnsi="Source Sans Pro" w:cs="Source Sans Pro"/>
          <w:i/>
          <w:sz w:val="22"/>
          <w:szCs w:val="22"/>
        </w:rPr>
        <w:t xml:space="preserve"> Redesigning America's Community Colleges: A Clearer Path to Student Success </w:t>
      </w:r>
      <w:r>
        <w:rPr>
          <w:rFonts w:ascii="Source Sans Pro" w:eastAsia="Source Sans Pro" w:hAnsi="Source Sans Pro" w:cs="Source Sans Pro"/>
          <w:color w:val="222222"/>
          <w:sz w:val="22"/>
          <w:szCs w:val="22"/>
        </w:rPr>
        <w:t xml:space="preserve">by Thomas Bailey, Shanna Smith Jaggars, and Davis Jenkins </w:t>
      </w:r>
      <w:r>
        <w:rPr>
          <w:rFonts w:ascii="Source Sans Pro" w:eastAsia="Source Sans Pro" w:hAnsi="Source Sans Pro" w:cs="Source Sans Pro"/>
          <w:sz w:val="22"/>
          <w:szCs w:val="22"/>
        </w:rPr>
        <w:t xml:space="preserve">(Harvard University Press, 2015).  </w:t>
      </w:r>
      <w:r>
        <w:rPr>
          <w:rFonts w:ascii="Source Sans Pro" w:eastAsia="Source Sans Pro" w:hAnsi="Source Sans Pro" w:cs="Source Sans Pro"/>
          <w:b/>
          <w:i/>
          <w:color w:val="C00000"/>
          <w:sz w:val="22"/>
          <w:szCs w:val="22"/>
        </w:rPr>
        <w:t>This document is for planning purposes only, as the official SOAA will be completed in the Chancellor’s Office NOVA system by your project leads.</w:t>
      </w:r>
    </w:p>
    <w:p w:rsidR="009B6D77" w:rsidRDefault="00202C68">
      <w:pPr>
        <w:shd w:val="clear" w:color="auto" w:fill="FFFFFF"/>
        <w:spacing w:before="360" w:after="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 suggest that you convene faculty, staff, and administrators from across areas of your college to discuss the extent to which each essential practice listed in the first column is currently implemented at your college as of fall/winter 2020. In </w:t>
      </w:r>
      <w:r>
        <w:rPr>
          <w:rFonts w:ascii="Source Sans Pro" w:eastAsia="Source Sans Pro" w:hAnsi="Source Sans Pro" w:cs="Source Sans Pro"/>
          <w:sz w:val="22"/>
          <w:szCs w:val="22"/>
          <w:u w:val="single"/>
        </w:rPr>
        <w:t>column two</w:t>
      </w:r>
      <w:r>
        <w:rPr>
          <w:rFonts w:ascii="Source Sans Pro" w:eastAsia="Source Sans Pro" w:hAnsi="Source Sans Pro" w:cs="Source Sans Pro"/>
          <w:sz w:val="22"/>
          <w:szCs w:val="22"/>
        </w:rPr>
        <w:t>, indicate the extent to which the practices have been adopted at your college using the following scale:</w:t>
      </w:r>
    </w:p>
    <w:tbl>
      <w:tblPr>
        <w:tblStyle w:val="a"/>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9B6D77">
        <w:trPr>
          <w:trHeight w:val="272"/>
        </w:trPr>
        <w:tc>
          <w:tcPr>
            <w:tcW w:w="3240" w:type="dxa"/>
            <w:shd w:val="clear" w:color="auto" w:fill="B8CCE4"/>
          </w:tcPr>
          <w:p w:rsidR="009B6D77" w:rsidRDefault="00202C68">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Scale of Adoption</w:t>
            </w:r>
          </w:p>
        </w:tc>
        <w:tc>
          <w:tcPr>
            <w:tcW w:w="9630" w:type="dxa"/>
            <w:shd w:val="clear" w:color="auto" w:fill="B8CCE4"/>
          </w:tcPr>
          <w:p w:rsidR="009B6D77" w:rsidRDefault="00202C68">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Definition</w:t>
            </w:r>
          </w:p>
        </w:tc>
      </w:tr>
      <w:tr w:rsidR="009B6D77">
        <w:trPr>
          <w:trHeight w:val="272"/>
        </w:trPr>
        <w:tc>
          <w:tcPr>
            <w:tcW w:w="3240" w:type="dxa"/>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occurring</w:t>
            </w:r>
          </w:p>
        </w:tc>
        <w:tc>
          <w:tcPr>
            <w:tcW w:w="9630" w:type="dxa"/>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currently not following, or planning to follow, this practice</w:t>
            </w:r>
          </w:p>
        </w:tc>
      </w:tr>
      <w:tr w:rsidR="009B6D77">
        <w:trPr>
          <w:trHeight w:val="272"/>
        </w:trPr>
        <w:tc>
          <w:tcPr>
            <w:tcW w:w="3240" w:type="dxa"/>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systematic</w:t>
            </w:r>
          </w:p>
        </w:tc>
        <w:tc>
          <w:tcPr>
            <w:tcW w:w="9630" w:type="dxa"/>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Practice is incomplete, inconsistent, informal, and/or optional</w:t>
            </w:r>
          </w:p>
        </w:tc>
      </w:tr>
      <w:tr w:rsidR="009B6D77">
        <w:trPr>
          <w:trHeight w:val="272"/>
        </w:trPr>
        <w:tc>
          <w:tcPr>
            <w:tcW w:w="3240" w:type="dxa"/>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Planning to scale</w:t>
            </w:r>
          </w:p>
        </w:tc>
        <w:tc>
          <w:tcPr>
            <w:tcW w:w="9630" w:type="dxa"/>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has made plans to implement the practice at scale and has started to put these plans into place</w:t>
            </w:r>
          </w:p>
        </w:tc>
      </w:tr>
      <w:tr w:rsidR="009B6D77">
        <w:trPr>
          <w:trHeight w:val="272"/>
        </w:trPr>
        <w:tc>
          <w:tcPr>
            <w:tcW w:w="3240" w:type="dxa"/>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Scaling in progress</w:t>
            </w:r>
          </w:p>
        </w:tc>
        <w:tc>
          <w:tcPr>
            <w:tcW w:w="9630" w:type="dxa"/>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Implementation of the practice is in progress for all students</w:t>
            </w:r>
          </w:p>
        </w:tc>
      </w:tr>
      <w:tr w:rsidR="009B6D77">
        <w:trPr>
          <w:trHeight w:val="272"/>
        </w:trPr>
        <w:tc>
          <w:tcPr>
            <w:tcW w:w="3240" w:type="dxa"/>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At scale</w:t>
            </w:r>
          </w:p>
        </w:tc>
        <w:tc>
          <w:tcPr>
            <w:tcW w:w="9630" w:type="dxa"/>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Practice is implemented at scale—that is, </w:t>
            </w:r>
            <w:r>
              <w:rPr>
                <w:rFonts w:ascii="Source Sans Pro" w:eastAsia="Source Sans Pro" w:hAnsi="Source Sans Pro" w:cs="Source Sans Pro"/>
                <w:color w:val="000000"/>
                <w:sz w:val="22"/>
                <w:szCs w:val="22"/>
                <w:u w:val="single"/>
              </w:rPr>
              <w:t>for all students in all programs</w:t>
            </w:r>
            <w:r>
              <w:rPr>
                <w:rFonts w:ascii="Source Sans Pro" w:eastAsia="Source Sans Pro" w:hAnsi="Source Sans Pro" w:cs="Source Sans Pro"/>
                <w:color w:val="000000"/>
                <w:sz w:val="22"/>
                <w:szCs w:val="22"/>
              </w:rPr>
              <w:t xml:space="preserve"> of study</w:t>
            </w:r>
          </w:p>
        </w:tc>
      </w:tr>
    </w:tbl>
    <w:p w:rsidR="009B6D77" w:rsidRDefault="00202C68">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In </w:t>
      </w:r>
      <w:r>
        <w:rPr>
          <w:rFonts w:ascii="Source Sans Pro" w:eastAsia="Source Sans Pro" w:hAnsi="Source Sans Pro" w:cs="Source Sans Pro"/>
          <w:sz w:val="22"/>
          <w:szCs w:val="22"/>
          <w:u w:val="single"/>
        </w:rPr>
        <w:t>column three</w:t>
      </w:r>
      <w:r>
        <w:rPr>
          <w:rFonts w:ascii="Source Sans Pro" w:eastAsia="Source Sans Pro" w:hAnsi="Source Sans Pro" w:cs="Source Sans Pro"/>
          <w:sz w:val="22"/>
          <w:szCs w:val="22"/>
        </w:rPr>
        <w:t xml:space="preserve">, describe the progress your college has made toward implementing each practice at scale. For practices that are </w:t>
      </w:r>
      <w:r>
        <w:rPr>
          <w:rFonts w:ascii="Source Sans Pro" w:eastAsia="Source Sans Pro" w:hAnsi="Source Sans Pro" w:cs="Source Sans Pro"/>
          <w:i/>
          <w:sz w:val="22"/>
          <w:szCs w:val="22"/>
        </w:rPr>
        <w:t>scaling</w:t>
      </w:r>
      <w:r>
        <w:rPr>
          <w:rFonts w:ascii="Source Sans Pro" w:eastAsia="Source Sans Pro" w:hAnsi="Source Sans Pro" w:cs="Source Sans Pro"/>
          <w:sz w:val="22"/>
          <w:szCs w:val="22"/>
        </w:rPr>
        <w:t xml:space="preserve"> or </w:t>
      </w:r>
      <w:r>
        <w:rPr>
          <w:rFonts w:ascii="Source Sans Pro" w:eastAsia="Source Sans Pro" w:hAnsi="Source Sans Pro" w:cs="Source Sans Pro"/>
          <w:i/>
          <w:sz w:val="22"/>
          <w:szCs w:val="22"/>
        </w:rPr>
        <w:t>at scale</w:t>
      </w:r>
      <w:r>
        <w:rPr>
          <w:rFonts w:ascii="Source Sans Pro" w:eastAsia="Source Sans Pro" w:hAnsi="Source Sans Pro" w:cs="Source Sans Pro"/>
          <w:sz w:val="22"/>
          <w:szCs w:val="22"/>
        </w:rPr>
        <w:t xml:space="preserve">, note that we are also asking you to indicate which semester a practice first reached this point. Finally, in </w:t>
      </w:r>
      <w:r>
        <w:rPr>
          <w:rFonts w:ascii="Source Sans Pro" w:eastAsia="Source Sans Pro" w:hAnsi="Source Sans Pro" w:cs="Source Sans Pro"/>
          <w:sz w:val="22"/>
          <w:szCs w:val="22"/>
          <w:u w:val="single"/>
        </w:rPr>
        <w:t>column four</w:t>
      </w:r>
      <w:r>
        <w:rPr>
          <w:rFonts w:ascii="Source Sans Pro" w:eastAsia="Source Sans Pro" w:hAnsi="Source Sans Pro" w:cs="Source Sans Pro"/>
          <w:sz w:val="22"/>
          <w:szCs w:val="22"/>
        </w:rPr>
        <w:t xml:space="preserve">, indicate the next steps your college plans to take toward implementing the given practice at scale and the college’s timeline for implementing these steps. </w:t>
      </w:r>
      <w:r>
        <w:rPr>
          <w:rFonts w:ascii="Source Sans Pro" w:eastAsia="Source Sans Pro" w:hAnsi="Source Sans Pro" w:cs="Source Sans Pro"/>
          <w:i/>
          <w:sz w:val="22"/>
          <w:szCs w:val="22"/>
        </w:rPr>
        <w:t>Don’t be concerned if your college has made minimal progress implementing any given practice.</w:t>
      </w:r>
      <w:r>
        <w:rPr>
          <w:rFonts w:ascii="Source Sans Pro" w:eastAsia="Source Sans Pro" w:hAnsi="Source Sans Pro" w:cs="Source Sans Pro"/>
          <w:sz w:val="22"/>
          <w:szCs w:val="22"/>
        </w:rPr>
        <w:t xml:space="preserve"> This assessment will help your college develop and refine a plan for implementing guided pathways at scale at your college. Project partners and the Chancellor’s Office will also use this information to follow the system’s progress in implementing guided pathways over time.</w:t>
      </w:r>
    </w:p>
    <w:p w:rsidR="009B6D77" w:rsidRDefault="00202C68">
      <w:pPr>
        <w:rPr>
          <w:rFonts w:ascii="Crimson" w:eastAsia="Crimson" w:hAnsi="Crimson" w:cs="Crimson"/>
          <w:b/>
          <w:color w:val="000000"/>
          <w:sz w:val="22"/>
          <w:szCs w:val="22"/>
        </w:rPr>
      </w:pPr>
      <w:r>
        <w:br w:type="page"/>
      </w:r>
    </w:p>
    <w:p w:rsidR="009B6D77" w:rsidRDefault="00202C68">
      <w:pPr>
        <w:shd w:val="clear" w:color="auto" w:fill="FFFFFF"/>
        <w:rPr>
          <w:rFonts w:ascii="Crimson" w:eastAsia="Crimson" w:hAnsi="Crimson" w:cs="Crimson"/>
          <w:b/>
          <w:color w:val="000000"/>
          <w:sz w:val="22"/>
          <w:szCs w:val="22"/>
        </w:rPr>
      </w:pPr>
      <w:r>
        <w:rPr>
          <w:rFonts w:ascii="Crimson" w:eastAsia="Crimson" w:hAnsi="Crimson" w:cs="Crimson"/>
          <w:b/>
          <w:color w:val="000000"/>
          <w:sz w:val="22"/>
          <w:szCs w:val="22"/>
        </w:rPr>
        <w:lastRenderedPageBreak/>
        <w:t>Equity Considerations</w:t>
      </w:r>
    </w:p>
    <w:p w:rsidR="009B6D77" w:rsidRDefault="00202C68">
      <w:pPr>
        <w:shd w:val="clear" w:color="auto" w:fill="FFFFFF"/>
        <w:spacing w:before="240"/>
        <w:jc w:val="both"/>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 fundamental goal of guided pathways is to increase the rate at which underrepresented students earn college credentials, particularly degrees and credentials in fields of high economic value, while also closing gaps for low-income students, students of color, returning adults, students with disabilities, and other groups with inequitable outcomes. As colleges seek to strengthen supports for all students to explore options for careers and college and choose and complete a program of study suited to their interests and aspirations, we encourage colleges to critically examine each practice to think about how the college is serving students who have been historically underrepresented and/or underserved in higher education. </w:t>
      </w:r>
    </w:p>
    <w:p w:rsidR="009B6D77" w:rsidRDefault="00202C68">
      <w:pPr>
        <w:shd w:val="clear" w:color="auto" w:fill="FFFFFF"/>
        <w:spacing w:before="240"/>
        <w:jc w:val="both"/>
        <w:rPr>
          <w:rFonts w:ascii="Source Sans Pro" w:eastAsia="Source Sans Pro" w:hAnsi="Source Sans Pro" w:cs="Source Sans Pro"/>
          <w:color w:val="FF0000"/>
          <w:sz w:val="20"/>
          <w:szCs w:val="20"/>
        </w:rPr>
      </w:pPr>
      <w:r>
        <w:rPr>
          <w:rFonts w:ascii="Source Sans Pro" w:eastAsia="Source Sans Pro" w:hAnsi="Source Sans Pro" w:cs="Source Sans Pro"/>
          <w:color w:val="000000"/>
          <w:sz w:val="22"/>
          <w:szCs w:val="22"/>
        </w:rPr>
        <w:t xml:space="preserve">In fall 2018 the SOAA was updated to include “Equity Considerations” in each practice area so that your pathways team can discuss and articulate connections between the college’s pathways reforms and equity goals. Your team does not need to answer all of these questions as part of the SOAA process and they are not intended to be used as “assessments.” Also, don’t be concerned if your college has had minimal discussion and/or efforts related to any given question. We hope the questions help initiate or advance conversations about whether and how institutional practices are having differential impact on historically underserved groups and how your college can leverage your pathways work to close equity gaps by identifying and addressing causes of inequity, removing systemic barriers, and focusing design decisions and resource allocation in ways that more effectively address needs of underserved groups. In doing so, you may want to include details about how the college is addressing these concerns in the “progress to date” and/or “next steps/timeline” column. </w:t>
      </w:r>
    </w:p>
    <w:p w:rsidR="009B6D77" w:rsidRDefault="00202C68">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your team completes the SOAA, please refer to the equity consideration questions to facilitate conversations about connections between the college’s pathways and equity efforts. </w:t>
      </w:r>
      <w:r>
        <w:rPr>
          <w:rFonts w:ascii="Source Sans Pro" w:eastAsia="Source Sans Pro" w:hAnsi="Source Sans Pro" w:cs="Source Sans Pro"/>
          <w:b/>
          <w:sz w:val="22"/>
          <w:szCs w:val="22"/>
          <w:u w:val="single"/>
        </w:rPr>
        <w:t>Please submit the certified SOAA within the NOVA system by March 30 2020.</w:t>
      </w:r>
      <w:r>
        <w:rPr>
          <w:rFonts w:ascii="Source Sans Pro" w:eastAsia="Source Sans Pro" w:hAnsi="Source Sans Pro" w:cs="Source Sans Pro"/>
          <w:sz w:val="22"/>
          <w:szCs w:val="22"/>
        </w:rPr>
        <w:t xml:space="preserve"> For more information about the SOAA, please email </w:t>
      </w:r>
      <w:hyperlink r:id="rId8">
        <w:r>
          <w:rPr>
            <w:rFonts w:ascii="Source Sans Pro" w:eastAsia="Source Sans Pro" w:hAnsi="Source Sans Pro" w:cs="Source Sans Pro"/>
            <w:color w:val="0000FF"/>
            <w:sz w:val="22"/>
            <w:szCs w:val="22"/>
            <w:u w:val="single"/>
          </w:rPr>
          <w:t>guidedpathwaysinfo@cccco.edu</w:t>
        </w:r>
      </w:hyperlink>
      <w:r>
        <w:rPr>
          <w:rFonts w:ascii="Source Sans Pro" w:eastAsia="Source Sans Pro" w:hAnsi="Source Sans Pro" w:cs="Source Sans Pro"/>
          <w:sz w:val="22"/>
          <w:szCs w:val="22"/>
        </w:rPr>
        <w:t xml:space="preserve">. </w:t>
      </w:r>
    </w:p>
    <w:p w:rsidR="009B6D77" w:rsidRDefault="00202C68">
      <w:pPr>
        <w:spacing w:before="24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For assistance in obtaining access to the NOVA system, please email </w:t>
      </w:r>
      <w:hyperlink r:id="rId9">
        <w:r>
          <w:rPr>
            <w:rFonts w:ascii="Source Sans Pro" w:eastAsia="Source Sans Pro" w:hAnsi="Source Sans Pro" w:cs="Source Sans Pro"/>
            <w:color w:val="0000FF"/>
            <w:sz w:val="22"/>
            <w:szCs w:val="22"/>
            <w:u w:val="single"/>
          </w:rPr>
          <w:t>nova-support@productops.com</w:t>
        </w:r>
      </w:hyperlink>
      <w:r>
        <w:rPr>
          <w:rFonts w:ascii="Source Sans Pro" w:eastAsia="Source Sans Pro" w:hAnsi="Source Sans Pro" w:cs="Source Sans Pro"/>
          <w:sz w:val="22"/>
          <w:szCs w:val="22"/>
        </w:rPr>
        <w:t xml:space="preserve">. </w:t>
      </w:r>
      <w:r>
        <w:br w:type="page"/>
      </w:r>
    </w:p>
    <w:tbl>
      <w:tblPr>
        <w:tblStyle w:val="a0"/>
        <w:tblW w:w="14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3"/>
        <w:gridCol w:w="2340"/>
        <w:gridCol w:w="4232"/>
        <w:gridCol w:w="4050"/>
      </w:tblGrid>
      <w:tr w:rsidR="009B6D77">
        <w:trPr>
          <w:trHeight w:val="609"/>
          <w:tblHeader/>
          <w:jc w:val="center"/>
        </w:trPr>
        <w:tc>
          <w:tcPr>
            <w:tcW w:w="4323"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34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232"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 xml:space="preserve">Progress to Date Implementing Practice </w:t>
            </w:r>
          </w:p>
          <w:p w:rsidR="009B6D77" w:rsidRDefault="00202C68">
            <w:pPr>
              <w:jc w:val="center"/>
              <w:rPr>
                <w:rFonts w:ascii="Crimson" w:eastAsia="Crimson" w:hAnsi="Crimson" w:cs="Crimson"/>
                <w:b/>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9B6D77">
        <w:trPr>
          <w:trHeight w:val="834"/>
          <w:jc w:val="center"/>
        </w:trPr>
        <w:tc>
          <w:tcPr>
            <w:tcW w:w="14945" w:type="dxa"/>
            <w:gridSpan w:val="4"/>
            <w:shd w:val="clear" w:color="auto" w:fill="DFEAF5"/>
            <w:tcMar>
              <w:top w:w="29" w:type="dxa"/>
              <w:bottom w:w="29" w:type="dxa"/>
            </w:tcMar>
            <w:vAlign w:val="center"/>
          </w:tcPr>
          <w:p w:rsidR="009B6D77" w:rsidRDefault="00202C68">
            <w:pPr>
              <w:spacing w:line="276" w:lineRule="auto"/>
              <w:jc w:val="both"/>
              <w:rPr>
                <w:rFonts w:ascii="Source Sans Pro" w:eastAsia="Source Sans Pro" w:hAnsi="Source Sans Pro" w:cs="Source Sans Pro"/>
                <w:i/>
                <w:sz w:val="20"/>
                <w:szCs w:val="20"/>
              </w:rPr>
            </w:pPr>
            <w:r>
              <w:rPr>
                <w:rFonts w:ascii="Source Sans Pro" w:eastAsia="Source Sans Pro" w:hAnsi="Source Sans Pro" w:cs="Source Sans Pro"/>
                <w:i/>
                <w:sz w:val="20"/>
                <w:szCs w:val="20"/>
              </w:rPr>
              <w:t>We are interested in how colleges connect equity efforts to their pathways work, planning, and discussions. The guiding questions in each of the four areas can help colleges consider how equity intersects with specific pathways practices. As themes, ideas, or areas for future work emerge during your discussion, please note the ways in which equity issues connect with guided pathways implementation in “Progress to Date” and “Next Steps”.</w:t>
            </w:r>
          </w:p>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1:</w:t>
            </w:r>
          </w:p>
          <w:p w:rsidR="009B6D77" w:rsidRDefault="00202C68">
            <w:pPr>
              <w:numPr>
                <w:ilvl w:val="0"/>
                <w:numId w:val="4"/>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Are the college’s website and program pages easy to navigate and understand for students and families without prior experience with higher education?</w:t>
            </w:r>
          </w:p>
          <w:p w:rsidR="009B6D77" w:rsidRDefault="00202C68">
            <w:pPr>
              <w:numPr>
                <w:ilvl w:val="0"/>
                <w:numId w:val="4"/>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How could the college ensure that access to and use of this information is equitable for students who have been historically underrepresented and/or underserved in higher education (e.g., racial/ethnic minority students, lower-income students, first-generation students, students with disabilities, indigenous students, formerly incarcerated students, veterans, undocumented students, etc.)?</w:t>
            </w:r>
          </w:p>
          <w:p w:rsidR="009B6D77" w:rsidRDefault="00202C68">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0"/>
                <w:szCs w:val="20"/>
              </w:rPr>
              <w:t>How are financial costs, potential debt, and economic benefits of program completion (including paths to program-relevant regional employment, projected earnings, and transfer outcomes) made clear for prospective students? Do program websites clarify differences in earnings potential between related certificates and degrees and across levels of educational attainment?</w:t>
            </w:r>
          </w:p>
        </w:tc>
      </w:tr>
      <w:tr w:rsidR="009B6D77">
        <w:trPr>
          <w:trHeight w:val="474"/>
          <w:jc w:val="center"/>
        </w:trPr>
        <w:tc>
          <w:tcPr>
            <w:tcW w:w="4323" w:type="dxa"/>
            <w:tcMar>
              <w:top w:w="29" w:type="dxa"/>
              <w:bottom w:w="29" w:type="dxa"/>
            </w:tcMar>
          </w:tcPr>
          <w:p w:rsidR="009B6D77" w:rsidRDefault="00202C68">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MAPPING Pathways to student end goals</w:t>
            </w:r>
          </w:p>
          <w:p w:rsidR="009B6D77" w:rsidRDefault="00202C68">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organized and marketed in broad career-focused academic and communities or “meta-majors”. </w:t>
            </w:r>
            <w:r>
              <w:rPr>
                <w:rFonts w:ascii="Source Sans Pro" w:eastAsia="Source Sans Pro" w:hAnsi="Source Sans Pro" w:cs="Source Sans Pro"/>
                <w:i/>
                <w:color w:val="000000"/>
                <w:sz w:val="22"/>
                <w:szCs w:val="22"/>
              </w:rPr>
              <w:t>(Note: This practice was added to the SOAA in February 2019)</w:t>
            </w:r>
          </w:p>
          <w:p w:rsidR="009B6D77" w:rsidRDefault="009B6D77">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34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232"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completed the Area of Interest (meta-majors) work, and adjustments were made in the fall semester.  A few programs, which were initially placed in one Area of Interest, were moved to a different one to provide better alignment with the HomeBases.  There </w:t>
            </w:r>
            <w:r w:rsidR="00CD66F7">
              <w:rPr>
                <w:rFonts w:ascii="Source Sans Pro" w:eastAsia="Source Sans Pro" w:hAnsi="Source Sans Pro" w:cs="Source Sans Pro"/>
                <w:sz w:val="22"/>
                <w:szCs w:val="22"/>
              </w:rPr>
              <w:t>is</w:t>
            </w:r>
            <w:r>
              <w:rPr>
                <w:rFonts w:ascii="Source Sans Pro" w:eastAsia="Source Sans Pro" w:hAnsi="Source Sans Pro" w:cs="Source Sans Pro"/>
                <w:sz w:val="22"/>
                <w:szCs w:val="22"/>
              </w:rPr>
              <w:t xml:space="preserve"> a total of eight Areas of Interest that cover all programs at the college.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Web pages were created that describe each Area of Interest and also list the programs of study within each of them.  HomeBases were initially integrated into the Areas of Interest web pages.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website also has a page listing all of the program maps that have been completed to date for various majors, with links to PDF copies of the maps.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202C68">
            <w:pPr>
              <w:pBdr>
                <w:top w:val="nil"/>
                <w:left w:val="nil"/>
                <w:bottom w:val="nil"/>
                <w:right w:val="nil"/>
                <w:between w:val="nil"/>
              </w:pBdr>
              <w:ind w:left="245" w:hanging="3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tc>
        <w:tc>
          <w:tcPr>
            <w:tcW w:w="4050"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Areas of Interest are being used in CCCApply to help students identify a program of study by first helping them identify an Area of Interest.  Students are currently being placed in a HomeBase according to their chosen major or Area of Interest.</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next step is to help the undecided and Transfer-to-a-four-year students identify an Area of Interest so they can be associated with a HomeBase.  The HomeBase provides support to the student and helps to build community</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rPr>
            </w:pPr>
          </w:p>
          <w:p w:rsidR="009B6D77" w:rsidRDefault="00202C68">
            <w:pPr>
              <w:rPr>
                <w:rFonts w:ascii="Source Sans Pro" w:eastAsia="Source Sans Pro" w:hAnsi="Source Sans Pro" w:cs="Source Sans Pro"/>
              </w:rPr>
            </w:pPr>
            <w:r>
              <w:rPr>
                <w:rFonts w:ascii="Source Sans Pro" w:eastAsia="Source Sans Pro" w:hAnsi="Source Sans Pro" w:cs="Source Sans Pro"/>
              </w:rPr>
              <w:t>Fall 2022</w:t>
            </w:r>
          </w:p>
        </w:tc>
      </w:tr>
      <w:tr w:rsidR="009B6D77">
        <w:trPr>
          <w:trHeight w:val="474"/>
          <w:jc w:val="center"/>
        </w:trPr>
        <w:tc>
          <w:tcPr>
            <w:tcW w:w="6663"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a.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w:t>
            </w:r>
            <w:r>
              <w:rPr>
                <w:rFonts w:ascii="Source Sans Pro" w:eastAsia="Source Sans Pro" w:hAnsi="Source Sans Pro" w:cs="Source Sans Pro"/>
                <w:sz w:val="20"/>
                <w:szCs w:val="20"/>
                <w:highlight w:val="yellow"/>
              </w:rPr>
              <w:t>Reporting/data</w:t>
            </w:r>
            <w:r>
              <w:rPr>
                <w:rFonts w:ascii="Source Sans Pro" w:eastAsia="Source Sans Pro" w:hAnsi="Source Sans Pro" w:cs="Source Sans Pro"/>
                <w:sz w:val="20"/>
                <w:szCs w:val="20"/>
              </w:rPr>
              <w:t xml:space="preserve"> </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Undecided students and students who select “transfer-to-a-four-year” are not associated with an Area of Interest.  This is a large number of students and we have challenges with being able to meet the number of students in this group with specific support at this time.  </w:t>
            </w:r>
          </w:p>
          <w:p w:rsidR="009B6D77" w:rsidRDefault="009B6D77">
            <w:pPr>
              <w:rPr>
                <w:rFonts w:ascii="Source Sans Pro" w:eastAsia="Source Sans Pro" w:hAnsi="Source Sans Pro" w:cs="Source Sans Pro"/>
                <w:sz w:val="20"/>
                <w:szCs w:val="20"/>
              </w:rPr>
            </w:pPr>
          </w:p>
          <w:p w:rsidR="009B6D77" w:rsidRDefault="00202C68">
            <w:pPr>
              <w:rPr>
                <w:rFonts w:ascii="Source Sans Pro" w:eastAsia="Source Sans Pro" w:hAnsi="Source Sans Pro" w:cs="Source Sans Pro"/>
                <w:sz w:val="20"/>
                <w:szCs w:val="20"/>
              </w:rPr>
            </w:pPr>
            <w:r>
              <w:rPr>
                <w:rFonts w:ascii="Source Sans Pro" w:eastAsia="Source Sans Pro" w:hAnsi="Source Sans Pro" w:cs="Source Sans Pro"/>
                <w:sz w:val="20"/>
                <w:szCs w:val="20"/>
              </w:rPr>
              <w:t>Also, we are currently manually placing students in the Canvas HomeBase shells because Canvas is tied to specific course sections and not an Area of Interest.  This is labor intensive and we are trying to find a solution to resolve this particular issue.</w:t>
            </w:r>
          </w:p>
        </w:tc>
        <w:tc>
          <w:tcPr>
            <w:tcW w:w="4050"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0"/>
                <w:szCs w:val="20"/>
              </w:rPr>
            </w:pPr>
            <w:r>
              <w:rPr>
                <w:rFonts w:ascii="Source Sans Pro" w:eastAsia="Source Sans Pro" w:hAnsi="Source Sans Pro" w:cs="Source Sans Pro"/>
                <w:sz w:val="20"/>
                <w:szCs w:val="20"/>
              </w:rPr>
              <w:t>Adjustments to CCCApply to allow for more detail to be shared with students before they pick a major.  This would allow students the opportunity to read or explore descriptions of Areas of Interest and then make a more informed decision.  Currently students who are undecided choose the first major in the list.</w:t>
            </w:r>
          </w:p>
        </w:tc>
      </w:tr>
      <w:tr w:rsidR="009B6D77">
        <w:trPr>
          <w:trHeight w:val="1511"/>
          <w:jc w:val="center"/>
        </w:trPr>
        <w:tc>
          <w:tcPr>
            <w:tcW w:w="4323" w:type="dxa"/>
            <w:shd w:val="clear" w:color="auto" w:fill="F2F2F2"/>
            <w:tcMar>
              <w:top w:w="29" w:type="dxa"/>
              <w:bottom w:w="29" w:type="dxa"/>
            </w:tcMar>
          </w:tcPr>
          <w:p w:rsidR="009B6D77" w:rsidRDefault="00202C68">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program is well designed to guide and prepare students to enter employment and further education in fields of importance to the college’s service area.</w:t>
            </w:r>
          </w:p>
        </w:tc>
        <w:tc>
          <w:tcPr>
            <w:tcW w:w="234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continues to work with faculty to create program maps for each of their programs of study.  As of January 1, 2022, 334 program maps have been created.  We have 20 programs left to map.  The 20 maps will be completed in the spring 2022 semester and we will be at scale by the end of spring 2022.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maps provide suggested sequence of coursework for the student as well as information regarding career and transfer opportunities.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0"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60"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tc>
        <w:tc>
          <w:tcPr>
            <w:tcW w:w="4050"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ind w:left="54"/>
              <w:rPr>
                <w:rFonts w:ascii="Calibri" w:eastAsia="Calibri" w:hAnsi="Calibri" w:cs="Calibri"/>
                <w:sz w:val="18"/>
                <w:szCs w:val="18"/>
              </w:rPr>
            </w:pPr>
            <w:r>
              <w:rPr>
                <w:rFonts w:ascii="Calibri" w:eastAsia="Calibri" w:hAnsi="Calibri" w:cs="Calibri"/>
                <w:sz w:val="18"/>
                <w:szCs w:val="18"/>
              </w:rPr>
              <w:t xml:space="preserve">The college will continue creating roadmaps for all of its programs of study that have been identified as needing a map.  There are 20 programs that need to be mapped to be at scale.  </w:t>
            </w:r>
          </w:p>
          <w:p w:rsidR="009B6D77" w:rsidRDefault="009B6D77">
            <w:pPr>
              <w:ind w:left="54"/>
              <w:rPr>
                <w:rFonts w:ascii="Calibri" w:eastAsia="Calibri" w:hAnsi="Calibri" w:cs="Calibri"/>
                <w:sz w:val="18"/>
                <w:szCs w:val="18"/>
              </w:rPr>
            </w:pPr>
          </w:p>
          <w:p w:rsidR="009B6D77" w:rsidRDefault="00202C68">
            <w:pPr>
              <w:ind w:left="54"/>
              <w:rPr>
                <w:rFonts w:ascii="Calibri" w:eastAsia="Calibri" w:hAnsi="Calibri" w:cs="Calibri"/>
                <w:sz w:val="18"/>
                <w:szCs w:val="18"/>
              </w:rPr>
            </w:pPr>
            <w:r>
              <w:rPr>
                <w:rFonts w:ascii="Calibri" w:eastAsia="Calibri" w:hAnsi="Calibri" w:cs="Calibri"/>
                <w:sz w:val="18"/>
                <w:szCs w:val="18"/>
              </w:rPr>
              <w:t>Program maps will continuously be revised and updated as changes occur.</w:t>
            </w:r>
          </w:p>
          <w:p w:rsidR="009B6D77" w:rsidRDefault="009B6D77">
            <w:pPr>
              <w:rPr>
                <w:rFonts w:ascii="Source Sans Pro" w:eastAsia="Source Sans Pro" w:hAnsi="Source Sans Pro" w:cs="Source Sans Pro"/>
                <w:i/>
                <w:sz w:val="22"/>
                <w:szCs w:val="22"/>
              </w:rPr>
            </w:pP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Spring 2022</w:t>
            </w:r>
          </w:p>
        </w:tc>
      </w:tr>
      <w:tr w:rsidR="009B6D77">
        <w:trPr>
          <w:trHeight w:val="1511"/>
          <w:jc w:val="center"/>
        </w:trPr>
        <w:tc>
          <w:tcPr>
            <w:tcW w:w="6663"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b.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 </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sz w:val="18"/>
                <w:szCs w:val="18"/>
              </w:rPr>
            </w:pPr>
            <w:r>
              <w:rPr>
                <w:rFonts w:ascii="Calibri" w:eastAsia="Calibri" w:hAnsi="Calibri" w:cs="Calibri"/>
                <w:sz w:val="18"/>
                <w:szCs w:val="18"/>
              </w:rPr>
              <w:t>ARC has well over 300 degrees and certificates, with new ones being created each year.  Creating and maintaining accurate program maps, and providing an easy way for students to find the right maps, is a challenge. We have created software to automate much of this work to streamline the process and are integrated program map updates in our annual unit planning process.</w:t>
            </w:r>
          </w:p>
        </w:tc>
        <w:tc>
          <w:tcPr>
            <w:tcW w:w="4050"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sz w:val="18"/>
                <w:szCs w:val="18"/>
              </w:rPr>
            </w:pPr>
            <w:r>
              <w:rPr>
                <w:rFonts w:ascii="Calibri" w:eastAsia="Calibri" w:hAnsi="Calibri" w:cs="Calibri"/>
                <w:sz w:val="18"/>
                <w:szCs w:val="18"/>
              </w:rPr>
              <w:t xml:space="preserve">To continue to support the guided pathways work, investments in technology will continuously be needed.  Additional technology resources will be helpful to the college.  </w:t>
            </w:r>
          </w:p>
        </w:tc>
      </w:tr>
      <w:tr w:rsidR="009B6D77">
        <w:trPr>
          <w:trHeight w:val="1511"/>
          <w:jc w:val="center"/>
        </w:trPr>
        <w:tc>
          <w:tcPr>
            <w:tcW w:w="4323" w:type="dxa"/>
            <w:tcMar>
              <w:top w:w="29" w:type="dxa"/>
              <w:bottom w:w="29" w:type="dxa"/>
            </w:tcMar>
          </w:tcPr>
          <w:p w:rsidR="009B6D77" w:rsidRDefault="00202C68">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Detailed information is provided on the college’s website on the employment and further education opportunities targeted by each program.</w:t>
            </w:r>
          </w:p>
        </w:tc>
        <w:tc>
          <w:tcPr>
            <w:tcW w:w="234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designed a new website that is more student focused. The new website uses the college’s HomeBase pathway communities structure to make it easier for students to find information about programs of study that may interest them. Each program of study has or will have one or more program roadmaps which includes career and transfer information. </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ARC Transfer Center website provides information in regards to Associate Degrees for Transfer (ADT’s), Transfer to UC’s, CSU’s and Private 4 yrs., as well as information regarding Transfer Admissions Guarantee (TAG) and Articulation with 4 yr. universities.   </w:t>
            </w:r>
            <w:r>
              <w:rPr>
                <w:rFonts w:ascii="Source Sans Pro" w:eastAsia="Source Sans Pro" w:hAnsi="Source Sans Pro" w:cs="Source Sans Pro"/>
                <w:sz w:val="22"/>
                <w:szCs w:val="22"/>
              </w:rPr>
              <w:lastRenderedPageBreak/>
              <w:t xml:space="preserve">Additionally, during the application period, Live Chat Sessions are housed on the website to allow students to connect with ARC Counselors and staff in regards to questions related to transfer to 4 yrs. </w:t>
            </w:r>
          </w:p>
          <w:p w:rsidR="009B6D77" w:rsidRDefault="00202C68">
            <w:pPr>
              <w:pBdr>
                <w:top w:val="nil"/>
                <w:left w:val="nil"/>
                <w:bottom w:val="nil"/>
                <w:right w:val="nil"/>
                <w:between w:val="nil"/>
              </w:pBdr>
              <w:ind w:left="245" w:hanging="245"/>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website and service to students is continually monitored and updated based on student need. </w:t>
            </w: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 xml:space="preserve"> </w:t>
            </w: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rsidR="009B6D77" w:rsidRDefault="009B6D77">
            <w:pPr>
              <w:rPr>
                <w:rFonts w:ascii="Source Sans Pro" w:eastAsia="Source Sans Pro" w:hAnsi="Source Sans Pro" w:cs="Source Sans Pro"/>
                <w:i/>
                <w:sz w:val="22"/>
                <w:szCs w:val="22"/>
              </w:rPr>
            </w:pPr>
          </w:p>
        </w:tc>
        <w:tc>
          <w:tcPr>
            <w:tcW w:w="4050"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website continues to be improved and changes are made as needed.  The HomeBase pathway communities webpages lead students to the program page(s) which contain the program maps, course information, career and transfer information, and labor market and salary information links. Information is continuously being updated as it is received.  </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2023</w:t>
            </w:r>
          </w:p>
        </w:tc>
      </w:tr>
      <w:tr w:rsidR="009B6D77">
        <w:trPr>
          <w:trHeight w:val="1511"/>
          <w:jc w:val="center"/>
        </w:trPr>
        <w:tc>
          <w:tcPr>
            <w:tcW w:w="6663"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c.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w:t>
            </w:r>
            <w:r>
              <w:rPr>
                <w:rFonts w:ascii="Source Sans Pro" w:eastAsia="Source Sans Pro" w:hAnsi="Source Sans Pro" w:cs="Source Sans Pro"/>
                <w:sz w:val="20"/>
                <w:szCs w:val="20"/>
                <w:highlight w:val="yellow"/>
              </w:rPr>
              <w:t>Reporting/data</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Other </w:t>
            </w:r>
          </w:p>
        </w:tc>
        <w:tc>
          <w:tcPr>
            <w:tcW w:w="4232"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It would be beneficial to add robust labor market and salary information for all programs of study. This would provide students with better information about their options.</w:t>
            </w:r>
          </w:p>
        </w:tc>
        <w:tc>
          <w:tcPr>
            <w:tcW w:w="4050"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Need access to labor market and salary data - it can be a link to an external resource or content that lives on the ARC website.</w:t>
            </w:r>
          </w:p>
        </w:tc>
      </w:tr>
      <w:tr w:rsidR="009B6D77">
        <w:trPr>
          <w:trHeight w:val="1765"/>
          <w:jc w:val="center"/>
        </w:trPr>
        <w:tc>
          <w:tcPr>
            <w:tcW w:w="4323" w:type="dxa"/>
            <w:shd w:val="clear" w:color="auto" w:fill="F2F2F2"/>
            <w:tcMar>
              <w:top w:w="29" w:type="dxa"/>
              <w:bottom w:w="29" w:type="dxa"/>
            </w:tcMar>
          </w:tcPr>
          <w:p w:rsidR="009B6D77" w:rsidRDefault="00202C68">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are clearly mapped out for students. Students know which courses they should take and in what sequence. Courses critical for success in each program and other key progress milestones are clearly identified. All this information is easily accessible on the college’s website.</w:t>
            </w:r>
          </w:p>
        </w:tc>
        <w:tc>
          <w:tcPr>
            <w:tcW w:w="234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shd w:val="clear" w:color="auto" w:fill="F2F2F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shd w:val="clear" w:color="auto" w:fill="F2F2F2"/>
              </w:rPr>
              <w:t xml:space="preserve"> Scaling in progress</w:t>
            </w:r>
          </w:p>
          <w:p w:rsidR="009B6D77" w:rsidRDefault="00202C68">
            <w:pPr>
              <w:spacing w:before="60" w:after="60"/>
              <w:ind w:left="60"/>
              <w:rPr>
                <w:rFonts w:ascii="Source Sans Pro" w:eastAsia="Source Sans Pro" w:hAnsi="Source Sans Pro" w:cs="Source Sans Pro"/>
                <w:sz w:val="22"/>
                <w:szCs w:val="22"/>
                <w:highlight w:val="yellow"/>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232"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(now the Program Paths Committee) designed roadmaps for the college’s programs of study, which include a clearly laid out sequence of courses (for both full-time and part-time students).</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Roadmap creation began in spring 2018, and approximately 224 programs have published </w:t>
            </w:r>
            <w:r w:rsidR="00CD66F7">
              <w:rPr>
                <w:rFonts w:ascii="Source Sans Pro" w:eastAsia="Source Sans Pro" w:hAnsi="Source Sans Pro" w:cs="Source Sans Pro"/>
                <w:sz w:val="22"/>
                <w:szCs w:val="22"/>
              </w:rPr>
              <w:t>roadmaps.</w:t>
            </w:r>
            <w:r>
              <w:rPr>
                <w:rFonts w:ascii="Source Sans Pro" w:eastAsia="Source Sans Pro" w:hAnsi="Source Sans Pro" w:cs="Source Sans Pro"/>
                <w:sz w:val="22"/>
                <w:szCs w:val="22"/>
              </w:rPr>
              <w:t xml:space="preserve"> Those roadmaps are being reviewed by counselors and faculty </w:t>
            </w:r>
            <w:r>
              <w:rPr>
                <w:rFonts w:ascii="Source Sans Pro" w:eastAsia="Source Sans Pro" w:hAnsi="Source Sans Pro" w:cs="Source Sans Pro"/>
                <w:sz w:val="22"/>
                <w:szCs w:val="22"/>
              </w:rPr>
              <w:lastRenderedPageBreak/>
              <w:t xml:space="preserve">while in remote </w:t>
            </w:r>
            <w:r w:rsidR="00CD66F7">
              <w:rPr>
                <w:rFonts w:ascii="Source Sans Pro" w:eastAsia="Source Sans Pro" w:hAnsi="Source Sans Pro" w:cs="Source Sans Pro"/>
                <w:sz w:val="22"/>
                <w:szCs w:val="22"/>
              </w:rPr>
              <w:t>operations to</w:t>
            </w:r>
            <w:r>
              <w:rPr>
                <w:rFonts w:ascii="Source Sans Pro" w:eastAsia="Source Sans Pro" w:hAnsi="Source Sans Pro" w:cs="Source Sans Pro"/>
                <w:sz w:val="22"/>
                <w:szCs w:val="22"/>
              </w:rPr>
              <w:t xml:space="preserve"> ensure their clarity and usefulness.  All of the approved program roadmaps have been published on the new college website and new roadmaps will be added to the website as they are approved.</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 xml:space="preserve">Spring </w:t>
            </w:r>
            <w:r>
              <w:rPr>
                <w:rFonts w:ascii="Source Sans Pro" w:eastAsia="Source Sans Pro" w:hAnsi="Source Sans Pro" w:cs="Source Sans Pro"/>
                <w:color w:val="000000"/>
                <w:sz w:val="22"/>
                <w:szCs w:val="22"/>
              </w:rPr>
              <w:t>20</w:t>
            </w:r>
            <w:r>
              <w:rPr>
                <w:rFonts w:ascii="Source Sans Pro" w:eastAsia="Source Sans Pro" w:hAnsi="Source Sans Pro" w:cs="Source Sans Pro"/>
                <w:sz w:val="22"/>
                <w:szCs w:val="22"/>
              </w:rPr>
              <w:t>22</w:t>
            </w:r>
          </w:p>
          <w:p w:rsidR="009B6D77" w:rsidRDefault="009B6D77">
            <w:pPr>
              <w:pBdr>
                <w:top w:val="nil"/>
                <w:left w:val="nil"/>
                <w:bottom w:val="nil"/>
                <w:right w:val="nil"/>
                <w:between w:val="nil"/>
              </w:pBdr>
              <w:ind w:left="60" w:hanging="245"/>
              <w:rPr>
                <w:rFonts w:ascii="Source Sans Pro" w:eastAsia="Source Sans Pro" w:hAnsi="Source Sans Pro" w:cs="Source Sans Pro"/>
                <w:color w:val="000000"/>
                <w:sz w:val="22"/>
                <w:szCs w:val="22"/>
              </w:rPr>
            </w:pPr>
          </w:p>
        </w:tc>
        <w:tc>
          <w:tcPr>
            <w:tcW w:w="4050"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will continue creating roadmaps for all of its programs and publishing them on the new website.</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have all of the program roadmaps completed by Spring 2022. We currently have over 300 maps completed and posted on the website.</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Spring 2022</w:t>
            </w:r>
          </w:p>
        </w:tc>
      </w:tr>
      <w:tr w:rsidR="009B6D77">
        <w:trPr>
          <w:trHeight w:val="1765"/>
          <w:jc w:val="center"/>
        </w:trPr>
        <w:tc>
          <w:tcPr>
            <w:tcW w:w="6663"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d.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Ongoing human resources will be needed to maintain the maps and to maintain the software used to manage maps and publish them on our college’s website.</w:t>
            </w:r>
          </w:p>
        </w:tc>
        <w:tc>
          <w:tcPr>
            <w:tcW w:w="4050"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Technology and support (human resources) will be needed to continuously maintain the program maps.</w:t>
            </w:r>
          </w:p>
        </w:tc>
      </w:tr>
      <w:tr w:rsidR="009B6D77">
        <w:trPr>
          <w:trHeight w:val="1765"/>
          <w:jc w:val="center"/>
        </w:trPr>
        <w:tc>
          <w:tcPr>
            <w:tcW w:w="4323" w:type="dxa"/>
            <w:tcMar>
              <w:top w:w="29" w:type="dxa"/>
              <w:bottom w:w="29" w:type="dxa"/>
            </w:tcMar>
          </w:tcPr>
          <w:p w:rsidR="009B6D77" w:rsidRDefault="00202C68">
            <w:pPr>
              <w:numPr>
                <w:ilvl w:val="0"/>
                <w:numId w:val="6"/>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Required math courses are appropriately aligned with the student’s field of study (</w:t>
            </w:r>
            <w:r>
              <w:rPr>
                <w:rFonts w:ascii="Source Sans Pro" w:eastAsia="Source Sans Pro" w:hAnsi="Source Sans Pro" w:cs="Source Sans Pro"/>
                <w:i/>
                <w:color w:val="000000"/>
                <w:sz w:val="22"/>
                <w:szCs w:val="22"/>
              </w:rPr>
              <w:t>Note: This essential practice was moved from Area 2</w:t>
            </w:r>
            <w:r>
              <w:rPr>
                <w:rFonts w:ascii="Source Sans Pro" w:eastAsia="Source Sans Pro" w:hAnsi="Source Sans Pro" w:cs="Source Sans Pro"/>
                <w:color w:val="000000"/>
                <w:sz w:val="22"/>
                <w:szCs w:val="22"/>
              </w:rPr>
              <w:t>)</w:t>
            </w:r>
          </w:p>
        </w:tc>
        <w:tc>
          <w:tcPr>
            <w:tcW w:w="234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232"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created roadmaps for most of the college’s degrees. The team works closely with the Mathematics department and faculty content experts to identify the appropriate math course to include in the roadmap for each degree.</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p w:rsidR="009B6D77" w:rsidRDefault="009B6D77">
            <w:pPr>
              <w:rPr>
                <w:rFonts w:ascii="Source Sans Pro" w:eastAsia="Source Sans Pro" w:hAnsi="Source Sans Pro" w:cs="Source Sans Pro"/>
                <w:i/>
                <w:sz w:val="22"/>
                <w:szCs w:val="22"/>
              </w:rPr>
            </w:pPr>
          </w:p>
        </w:tc>
        <w:tc>
          <w:tcPr>
            <w:tcW w:w="4050"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Mathematics department redesigned its course offerings. The Clarify Program Paths team continues to work with them to identify appropriate math courses for each degree.</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Spring 2022</w:t>
            </w:r>
          </w:p>
          <w:p w:rsidR="009B6D77" w:rsidRDefault="009B6D77">
            <w:pPr>
              <w:rPr>
                <w:rFonts w:ascii="Source Sans Pro" w:eastAsia="Source Sans Pro" w:hAnsi="Source Sans Pro" w:cs="Source Sans Pro"/>
                <w:sz w:val="22"/>
                <w:szCs w:val="22"/>
              </w:rPr>
            </w:pP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Once the final 20 maps are completed in spring 2022, we will be at scale.  </w:t>
            </w:r>
          </w:p>
        </w:tc>
      </w:tr>
      <w:tr w:rsidR="009B6D77">
        <w:trPr>
          <w:trHeight w:val="1765"/>
          <w:jc w:val="center"/>
        </w:trPr>
        <w:tc>
          <w:tcPr>
            <w:tcW w:w="6663"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e.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c>
          <w:tcPr>
            <w:tcW w:w="4050"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bl>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br w:type="page"/>
      </w:r>
    </w:p>
    <w:tbl>
      <w:tblPr>
        <w:tblStyle w:val="a1"/>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9B6D77">
        <w:trPr>
          <w:trHeight w:val="611"/>
          <w:tblHeader/>
          <w:jc w:val="center"/>
        </w:trPr>
        <w:tc>
          <w:tcPr>
            <w:tcW w:w="4315"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9B6D77" w:rsidRDefault="00202C68">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9B6D77">
        <w:trPr>
          <w:trHeight w:val="834"/>
          <w:jc w:val="center"/>
        </w:trPr>
        <w:tc>
          <w:tcPr>
            <w:tcW w:w="14986" w:type="dxa"/>
            <w:gridSpan w:val="4"/>
            <w:shd w:val="clear" w:color="auto" w:fill="DFEAF5"/>
            <w:tcMar>
              <w:top w:w="29" w:type="dxa"/>
              <w:bottom w:w="29" w:type="dxa"/>
            </w:tcMar>
          </w:tcPr>
          <w:p w:rsidR="009B6D77" w:rsidRDefault="00202C68">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 xml:space="preserve">Equity Considerations in Area 2: </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Does the college assess whether historically underrepresented and high needs students are disproportionately enrolled in programs that lead to lower remuneration careers? Has the college considered how it can help underrepresented students raise their educational and career expectations while at the same time meeting their more immediate economic needs?</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For critical program courses, does the college disaggregate enrollment, pass rate, and subsequent success data by student characteristics? What strategies has the college used to improve overall student success in these courses?</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Does the college proactively partner with feeder high schools that serve predominantly underrepresented and high needs students to help students explore academic and career interests and develop viable plans for college? Are dual enrollment opportunities made available to high school students who are deemed “not yet college ready”? Is the college building bridges to high-opportunity college programs for students in adult basic skills programs?</w:t>
            </w:r>
          </w:p>
        </w:tc>
      </w:tr>
      <w:tr w:rsidR="009B6D77">
        <w:trPr>
          <w:jc w:val="center"/>
        </w:trPr>
        <w:tc>
          <w:tcPr>
            <w:tcW w:w="4315" w:type="dxa"/>
            <w:tcBorders>
              <w:bottom w:val="single" w:sz="4" w:space="0" w:color="000000"/>
            </w:tcBorders>
            <w:tcMar>
              <w:top w:w="29" w:type="dxa"/>
              <w:bottom w:w="29" w:type="dxa"/>
            </w:tcMar>
          </w:tcPr>
          <w:p w:rsidR="009B6D77" w:rsidRDefault="00202C68">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 xml:space="preserve">HELPING STUDENTS Choose and ENTER A program PATHWAY </w:t>
            </w:r>
          </w:p>
          <w:p w:rsidR="009B6D77" w:rsidRDefault="00202C68">
            <w:pPr>
              <w:numPr>
                <w:ilvl w:val="0"/>
                <w:numId w:val="7"/>
              </w:numPr>
              <w:pBdr>
                <w:top w:val="nil"/>
                <w:left w:val="nil"/>
                <w:bottom w:val="nil"/>
                <w:right w:val="nil"/>
                <w:between w:val="nil"/>
              </w:pBdr>
              <w:ind w:left="515" w:hanging="27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new student is helped to explore career/college options, choose a program of study, and develop a full-program plan as soon as possible.</w:t>
            </w:r>
          </w:p>
          <w:p w:rsidR="009B6D77" w:rsidRDefault="009B6D77">
            <w:pPr>
              <w:pBdr>
                <w:top w:val="nil"/>
                <w:left w:val="nil"/>
                <w:bottom w:val="nil"/>
                <w:right w:val="nil"/>
                <w:between w:val="nil"/>
              </w:pBdr>
              <w:ind w:left="515"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Achieve@ARC was created to provide an onboarding experience to first-time recent high school graduates.  With the use of the Start Right Design Team report, the College continues to redesign the student experience.  This program has now shifted to a First Year Experience (FYE) Program integrated into the HomeBases.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Included in the redesign, students are exposed to career and college exploration at the beginning of the process.  This includes students participating in the Get Connected Session where they are exposed to exploring the College and its online tools and resources, as well as course and career planning based on their chosen pathway.</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Success Teams support students throughout their first-year journey at the College.</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2019</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Undecided students are asked to complete a major/career assessment after applying to the College.</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College will continue supporting undecided students via career exploration activities/events, career counseling, and ongoing use of assessment tools.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CaPSS and HomeBases will also play a role in supporting continuing students who have yet to determine a program of study.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Streamlining the consistent delivery of a Needs Assessment to all </w:t>
            </w:r>
            <w:r w:rsidR="00CD66F7">
              <w:rPr>
                <w:rFonts w:ascii="Source Sans Pro" w:eastAsia="Source Sans Pro" w:hAnsi="Source Sans Pro" w:cs="Source Sans Pro"/>
                <w:sz w:val="22"/>
                <w:szCs w:val="22"/>
              </w:rPr>
              <w:t>first-time</w:t>
            </w:r>
            <w:r>
              <w:rPr>
                <w:rFonts w:ascii="Source Sans Pro" w:eastAsia="Source Sans Pro" w:hAnsi="Source Sans Pro" w:cs="Source Sans Pro"/>
                <w:sz w:val="22"/>
                <w:szCs w:val="22"/>
              </w:rPr>
              <w:t xml:space="preserve"> new students at the beginning of each term.</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9B6D77">
        <w:trPr>
          <w:jc w:val="center"/>
        </w:trPr>
        <w:tc>
          <w:tcPr>
            <w:tcW w:w="6745" w:type="dxa"/>
            <w:gridSpan w:val="2"/>
            <w:tcBorders>
              <w:bottom w:val="single" w:sz="4" w:space="0" w:color="000000"/>
            </w:tcBorders>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2. a.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sz w:val="20"/>
                <w:szCs w:val="20"/>
              </w:rPr>
            </w:pPr>
            <w:r>
              <w:rPr>
                <w:rFonts w:ascii="Source Sans Pro" w:eastAsia="Source Sans Pro" w:hAnsi="Source Sans Pro" w:cs="Source Sans Pro"/>
                <w:sz w:val="20"/>
                <w:szCs w:val="20"/>
              </w:rPr>
              <w:t>Modifications to the application and/or reporting afterward may be needed.</w:t>
            </w: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Given the size of the college, scaling these services/supports can be challenging. We will continue to pursue opportunities to assist students in career exploration/major identification via resources such as CaPSS, HomeBases, HCD and other department-specific events that expose students to major and career possibilities.</w:t>
            </w:r>
          </w:p>
        </w:tc>
      </w:tr>
      <w:tr w:rsidR="009B6D77">
        <w:trPr>
          <w:jc w:val="center"/>
        </w:trPr>
        <w:tc>
          <w:tcPr>
            <w:tcW w:w="4315" w:type="dxa"/>
            <w:tcBorders>
              <w:top w:val="single" w:sz="4" w:space="0" w:color="000000"/>
            </w:tcBorders>
            <w:shd w:val="clear" w:color="auto" w:fill="F2F2F2"/>
            <w:tcMar>
              <w:top w:w="29" w:type="dxa"/>
              <w:bottom w:w="29" w:type="dxa"/>
            </w:tcMar>
          </w:tcPr>
          <w:p w:rsidR="009B6D77" w:rsidRDefault="00202C68">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courses for the college’s </w:t>
            </w:r>
            <w:r>
              <w:rPr>
                <w:rFonts w:ascii="Source Sans Pro" w:eastAsia="Source Sans Pro" w:hAnsi="Source Sans Pro" w:cs="Source Sans Pro"/>
                <w:b/>
                <w:color w:val="000000"/>
                <w:sz w:val="22"/>
                <w:szCs w:val="22"/>
              </w:rPr>
              <w:t>major program areas</w:t>
            </w:r>
            <w:r>
              <w:rPr>
                <w:rFonts w:ascii="Source Sans Pro" w:eastAsia="Source Sans Pro" w:hAnsi="Source Sans Pro" w:cs="Source Sans Pro"/>
                <w:color w:val="000000"/>
                <w:sz w:val="22"/>
                <w:szCs w:val="22"/>
              </w:rPr>
              <w:t xml:space="preserve">. </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Counseling Department created a Student Success Team model (case management) that allows for support for students through a team approach.</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66"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2019</w:t>
            </w:r>
          </w:p>
        </w:tc>
        <w:tc>
          <w:tcPr>
            <w:tcW w:w="4051"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With the creation of the Student Success Teams, the teams will eventually provide wrap around support to students to assist the academically unprepared.</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has worked the past year to create nine areas of interest. With no actual plans currently in place, the College may be able to use the eight areas of interest and a future success course to support students who are academically unprepared.</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Align courses for all first-time new students within an area of interest. The goal is to help students with Financial Aid </w:t>
            </w:r>
            <w:r>
              <w:rPr>
                <w:rFonts w:ascii="Source Sans Pro" w:eastAsia="Source Sans Pro" w:hAnsi="Source Sans Pro" w:cs="Source Sans Pro"/>
                <w:sz w:val="22"/>
                <w:szCs w:val="22"/>
              </w:rPr>
              <w:lastRenderedPageBreak/>
              <w:t>Course Applicability and progress and support for the first semester of course planning.</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tcBorders>
              <w:top w:val="single" w:sz="4" w:space="0" w:color="000000"/>
            </w:tcBorders>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b.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c>
          <w:tcPr>
            <w:tcW w:w="4051"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tcBorders>
              <w:top w:val="single" w:sz="4" w:space="0" w:color="000000"/>
            </w:tcBorders>
            <w:tcMar>
              <w:top w:w="29" w:type="dxa"/>
              <w:bottom w:w="29" w:type="dxa"/>
            </w:tcMar>
          </w:tcPr>
          <w:p w:rsidR="009B6D77" w:rsidRDefault="00202C68">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program-relevant “gateway” </w:t>
            </w:r>
            <w:r>
              <w:rPr>
                <w:rFonts w:ascii="Source Sans Pro" w:eastAsia="Source Sans Pro" w:hAnsi="Source Sans Pro" w:cs="Source Sans Pro"/>
                <w:b/>
                <w:color w:val="000000"/>
                <w:sz w:val="22"/>
                <w:szCs w:val="22"/>
              </w:rPr>
              <w:t>math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Start Right and IPASS design teams made recommendations with providing </w:t>
            </w:r>
            <w:r>
              <w:rPr>
                <w:rFonts w:ascii="Source Sans Pro" w:eastAsia="Source Sans Pro" w:hAnsi="Source Sans Pro" w:cs="Source Sans Pro"/>
                <w:sz w:val="22"/>
                <w:szCs w:val="22"/>
              </w:rPr>
              <w:t>support</w:t>
            </w:r>
            <w:r>
              <w:rPr>
                <w:rFonts w:ascii="Source Sans Pro" w:eastAsia="Source Sans Pro" w:hAnsi="Source Sans Pro" w:cs="Source Sans Pro"/>
                <w:color w:val="000000"/>
                <w:sz w:val="22"/>
                <w:szCs w:val="22"/>
              </w:rPr>
              <w:t xml:space="preserve"> to students who are academically unprepared. The English Department has created an integrated model for supporting students with ENGWR 300 (College Composition) and </w:t>
            </w:r>
            <w:r>
              <w:rPr>
                <w:rFonts w:ascii="Source Sans Pro" w:eastAsia="Source Sans Pro" w:hAnsi="Source Sans Pro" w:cs="Source Sans Pro"/>
                <w:color w:val="000000"/>
                <w:sz w:val="22"/>
                <w:szCs w:val="22"/>
              </w:rPr>
              <w:lastRenderedPageBreak/>
              <w:t>the Math Department has redesigned their curriculum to provide integrated support.</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100% of ARC’s students </w:t>
            </w:r>
            <w:r>
              <w:rPr>
                <w:rFonts w:ascii="Source Sans Pro" w:eastAsia="Source Sans Pro" w:hAnsi="Source Sans Pro" w:cs="Source Sans Pro"/>
                <w:sz w:val="22"/>
                <w:szCs w:val="22"/>
              </w:rPr>
              <w:t>are placed</w:t>
            </w:r>
            <w:r>
              <w:rPr>
                <w:rFonts w:ascii="Source Sans Pro" w:eastAsia="Source Sans Pro" w:hAnsi="Source Sans Pro" w:cs="Source Sans Pro"/>
                <w:color w:val="000000"/>
                <w:sz w:val="22"/>
                <w:szCs w:val="22"/>
              </w:rPr>
              <w:t xml:space="preserve"> into transfer-level English and Math and scaling is in progress for special </w:t>
            </w:r>
            <w:r>
              <w:rPr>
                <w:rFonts w:ascii="Source Sans Pro" w:eastAsia="Source Sans Pro" w:hAnsi="Source Sans Pro" w:cs="Source Sans Pro"/>
                <w:sz w:val="22"/>
                <w:szCs w:val="22"/>
              </w:rPr>
              <w:t>support</w:t>
            </w:r>
            <w:r>
              <w:rPr>
                <w:rFonts w:ascii="Source Sans Pro" w:eastAsia="Source Sans Pro" w:hAnsi="Source Sans Pro" w:cs="Source Sans Pro"/>
                <w:color w:val="000000"/>
                <w:sz w:val="22"/>
                <w:szCs w:val="22"/>
              </w:rPr>
              <w:t xml:space="preserve"> for this group of students.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p w:rsidR="009B6D77" w:rsidRDefault="009B6D77">
            <w:pPr>
              <w:rPr>
                <w:rFonts w:ascii="Source Sans Pro" w:eastAsia="Source Sans Pro" w:hAnsi="Source Sans Pro" w:cs="Source Sans Pro"/>
                <w:i/>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new math pathways model was implemented in Fall 2020.</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also have the ability to use a self-guided placement process to identify the correct course to begin with.</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Once data for summer/fall placement and completion rates are examined, adjustments will be made to the model as necessary.</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9B6D77">
        <w:trPr>
          <w:jc w:val="center"/>
        </w:trPr>
        <w:tc>
          <w:tcPr>
            <w:tcW w:w="6745" w:type="dxa"/>
            <w:gridSpan w:val="2"/>
            <w:tcBorders>
              <w:top w:val="single" w:sz="4" w:space="0" w:color="000000"/>
            </w:tcBorders>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c.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c>
          <w:tcPr>
            <w:tcW w:w="4051"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tcBorders>
              <w:top w:val="single" w:sz="4" w:space="0" w:color="000000"/>
            </w:tcBorders>
            <w:shd w:val="clear" w:color="auto" w:fill="F2F2F2"/>
            <w:tcMar>
              <w:top w:w="29" w:type="dxa"/>
              <w:bottom w:w="29" w:type="dxa"/>
            </w:tcMar>
          </w:tcPr>
          <w:p w:rsidR="009B6D77" w:rsidRDefault="00202C68">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w:t>
            </w:r>
            <w:r>
              <w:rPr>
                <w:rFonts w:ascii="Source Sans Pro" w:eastAsia="Source Sans Pro" w:hAnsi="Source Sans Pro" w:cs="Source Sans Pro"/>
                <w:b/>
                <w:color w:val="000000"/>
                <w:sz w:val="22"/>
                <w:szCs w:val="22"/>
              </w:rPr>
              <w:t>English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Start Right and IPASS design teams made recommendations with providing support to students who are academically unprepared.  The English Department has created an integrated model for supporting students with ENGWR 300 (College Composition).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100% of ARC’s students are placed into transfer-level English (starting in Spring 2019) and scaling is in progress for special support for this group of students.</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ARC has a well-developed Writing Across the Curriculum, Reading Across the Disciplines, and Science Skills program designed to provide special support for the math skills necessary for underprepared students to succeed in gateway courses for the major program areas.  While these are well developed and institutionalized programs, they still need to be better integrated to further scale up at the college.</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2019</w:t>
            </w:r>
          </w:p>
        </w:tc>
        <w:tc>
          <w:tcPr>
            <w:tcW w:w="4051"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English Department will evaluate the success of the supports through campus research, and to </w:t>
            </w:r>
            <w:r w:rsidR="00CD66F7">
              <w:rPr>
                <w:rFonts w:ascii="Source Sans Pro" w:eastAsia="Source Sans Pro" w:hAnsi="Source Sans Pro" w:cs="Source Sans Pro"/>
                <w:sz w:val="22"/>
                <w:szCs w:val="22"/>
              </w:rPr>
              <w:t>adjust</w:t>
            </w:r>
            <w:r>
              <w:rPr>
                <w:rFonts w:ascii="Source Sans Pro" w:eastAsia="Source Sans Pro" w:hAnsi="Source Sans Pro" w:cs="Source Sans Pro"/>
                <w:sz w:val="22"/>
                <w:szCs w:val="22"/>
              </w:rPr>
              <w:t xml:space="preserve"> accordingly.</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w:t>
            </w:r>
          </w:p>
        </w:tc>
      </w:tr>
      <w:tr w:rsidR="009B6D77">
        <w:trPr>
          <w:jc w:val="center"/>
        </w:trPr>
        <w:tc>
          <w:tcPr>
            <w:tcW w:w="6745" w:type="dxa"/>
            <w:gridSpan w:val="2"/>
            <w:tcBorders>
              <w:top w:val="single" w:sz="4" w:space="0" w:color="000000"/>
            </w:tcBorders>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2. d.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tcMar>
              <w:top w:w="29" w:type="dxa"/>
              <w:bottom w:w="29" w:type="dxa"/>
            </w:tcMar>
          </w:tcPr>
          <w:p w:rsidR="009B6D77" w:rsidRDefault="00202C68">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Intensive support is provided to help very poorly prepared students to succeed in college-level courses as soon as possible.</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Student Success Teams (case management) were created to support Achieve@ARC students </w:t>
            </w:r>
            <w:r>
              <w:rPr>
                <w:rFonts w:ascii="Source Sans Pro" w:eastAsia="Source Sans Pro" w:hAnsi="Source Sans Pro" w:cs="Source Sans Pro"/>
                <w:sz w:val="22"/>
                <w:szCs w:val="22"/>
              </w:rPr>
              <w:t>which has been renamed to First Year Experience (FYE)</w:t>
            </w:r>
            <w:r>
              <w:rPr>
                <w:rFonts w:ascii="Source Sans Pro" w:eastAsia="Source Sans Pro" w:hAnsi="Source Sans Pro" w:cs="Source Sans Pro"/>
                <w:color w:val="000000"/>
                <w:sz w:val="22"/>
                <w:szCs w:val="22"/>
              </w:rPr>
              <w:t xml:space="preserve">.  The teams recently implemented a needs assessment survey to help identify students who may need </w:t>
            </w:r>
            <w:r>
              <w:rPr>
                <w:rFonts w:ascii="Source Sans Pro" w:eastAsia="Source Sans Pro" w:hAnsi="Source Sans Pro" w:cs="Source Sans Pro"/>
                <w:color w:val="000000"/>
                <w:sz w:val="22"/>
                <w:szCs w:val="22"/>
              </w:rPr>
              <w:lastRenderedPageBreak/>
              <w:t xml:space="preserve">additional support.  This process is still being developed.  However, the English Department has implemented a support course ENGWR 94 for students completing ENGWR 300 (College Composition), and the Mathematics Department has implemented support courses for all transfer-level gateway courses.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With AB705, the English, Math, and ESL Departments are working hard to address the requirement of students completing college-level courses in the first year.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Student Success Teams will continue to develop the case management model and explore needs assessments that will help to identify students early to provide </w:t>
            </w:r>
            <w:r>
              <w:rPr>
                <w:rFonts w:ascii="Source Sans Pro" w:eastAsia="Source Sans Pro" w:hAnsi="Source Sans Pro" w:cs="Source Sans Pro"/>
                <w:sz w:val="22"/>
                <w:szCs w:val="22"/>
              </w:rPr>
              <w:lastRenderedPageBreak/>
              <w:t>support for students who are not academically prepared.</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sz w:val="22"/>
                <w:szCs w:val="22"/>
              </w:rPr>
              <w:t>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w:t>
            </w:r>
            <w:r>
              <w:rPr>
                <w:rFonts w:ascii="Source Sans Pro" w:eastAsia="Source Sans Pro" w:hAnsi="Source Sans Pro" w:cs="Source Sans Pro"/>
                <w:i/>
                <w:sz w:val="22"/>
                <w:szCs w:val="22"/>
              </w:rPr>
              <w: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9B6D77">
        <w:trPr>
          <w:jc w:val="center"/>
        </w:trPr>
        <w:tc>
          <w:tcPr>
            <w:tcW w:w="6745"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e.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shd w:val="clear" w:color="auto" w:fill="F2F2F2"/>
            <w:tcMar>
              <w:top w:w="29" w:type="dxa"/>
              <w:bottom w:w="29" w:type="dxa"/>
            </w:tcMar>
          </w:tcPr>
          <w:p w:rsidR="009B6D77" w:rsidRDefault="00202C68">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works with high schools and other feeders to motivate and prepare students to enter college-level coursework in a program of study when they enroll in college.</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Partner with 32 high schools, with an intentional focus on campuses with high DI enrollment, and provide information, application, and financial aid workshops.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Host annual counselor conference to provide information for high school counselors to share with students.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Hosted parent workshops to provide parents/guardian information about college.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Host MASCOT program for 160 high school seniors who are first-generation college students to assist with their college transition.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Support 1,500 middle and high school students in federal TRIO programs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Send monthly high school counselor newsletter</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Build a more specific web site for prospective students.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Provide more information on career exploration tools.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Create a strategic communication plan with follow-up information for students after they apply.</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f.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sz w:val="18"/>
                <w:szCs w:val="18"/>
              </w:rPr>
            </w:pPr>
            <w:r>
              <w:rPr>
                <w:rFonts w:ascii="Calibri" w:eastAsia="Calibri" w:hAnsi="Calibri" w:cs="Calibri"/>
                <w:sz w:val="18"/>
                <w:szCs w:val="18"/>
              </w:rPr>
              <w:t>Staffing to develop the content for the website for prospective students. Hiring was underway in Fall 2020. An identified career assessment tool and marketing material to share with HS students and Counselors.</w:t>
            </w:r>
          </w:p>
        </w:tc>
        <w:tc>
          <w:tcPr>
            <w:tcW w:w="4051"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A career assessment tool was being identified and onboarded just before COVID. Implementation has been slow, but ongoing.</w:t>
            </w:r>
          </w:p>
        </w:tc>
      </w:tr>
    </w:tbl>
    <w:p w:rsidR="009B6D77" w:rsidRDefault="00202C68">
      <w:r>
        <w:br w:type="page"/>
      </w:r>
    </w:p>
    <w:tbl>
      <w:tblPr>
        <w:tblStyle w:val="a2"/>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9B6D77">
        <w:trPr>
          <w:jc w:val="center"/>
        </w:trPr>
        <w:tc>
          <w:tcPr>
            <w:tcW w:w="4315" w:type="dxa"/>
            <w:tcBorders>
              <w:bottom w:val="single" w:sz="4" w:space="0" w:color="000000"/>
            </w:tcBorders>
            <w:shd w:val="clear" w:color="auto" w:fill="B8CCE4"/>
            <w:tcMar>
              <w:top w:w="29" w:type="dxa"/>
              <w:bottom w:w="29" w:type="dxa"/>
            </w:tcMar>
            <w:vAlign w:val="center"/>
          </w:tcPr>
          <w:p w:rsidR="009B6D77" w:rsidRDefault="00202C68">
            <w:pPr>
              <w:pBdr>
                <w:top w:val="nil"/>
                <w:left w:val="nil"/>
                <w:bottom w:val="nil"/>
                <w:right w:val="nil"/>
                <w:between w:val="nil"/>
              </w:pBdr>
              <w:spacing w:after="120"/>
              <w:ind w:left="274" w:hanging="274"/>
              <w:rPr>
                <w:rFonts w:ascii="Source Sans Pro" w:eastAsia="Source Sans Pro" w:hAnsi="Source Sans Pro" w:cs="Source Sans Pro"/>
                <w:b/>
                <w:smallCaps/>
                <w:color w:val="000000"/>
                <w:sz w:val="22"/>
                <w:szCs w:val="22"/>
              </w:rPr>
            </w:pPr>
            <w:r>
              <w:rPr>
                <w:rFonts w:ascii="Crimson" w:eastAsia="Crimson" w:hAnsi="Crimson" w:cs="Crimson"/>
                <w:b/>
                <w:smallCaps/>
                <w:color w:val="000000"/>
                <w:sz w:val="22"/>
                <w:szCs w:val="22"/>
              </w:rPr>
              <w:lastRenderedPageBreak/>
              <w:t>Guided Pathways Essential Practices</w:t>
            </w:r>
          </w:p>
        </w:tc>
        <w:tc>
          <w:tcPr>
            <w:tcW w:w="2430" w:type="dxa"/>
            <w:shd w:val="clear" w:color="auto" w:fill="B8CCE4"/>
            <w:tcMar>
              <w:top w:w="29" w:type="dxa"/>
              <w:bottom w:w="29" w:type="dxa"/>
            </w:tcMar>
            <w:vAlign w:val="center"/>
          </w:tcPr>
          <w:p w:rsidR="009B6D77" w:rsidRDefault="00202C68">
            <w:pPr>
              <w:tabs>
                <w:tab w:val="left" w:pos="275"/>
              </w:tabs>
              <w:spacing w:after="60"/>
              <w:rPr>
                <w:rFonts w:ascii="Source Sans Pro" w:eastAsia="Source Sans Pro" w:hAnsi="Source Sans Pro" w:cs="Source Sans Pro"/>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tcMar>
              <w:top w:w="29" w:type="dxa"/>
              <w:bottom w:w="29" w:type="dxa"/>
            </w:tcMar>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9B6D77" w:rsidRDefault="00202C68">
            <w:pPr>
              <w:rPr>
                <w:rFonts w:ascii="Source Sans Pro" w:eastAsia="Source Sans Pro" w:hAnsi="Source Sans Pro" w:cs="Source Sans Pro"/>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9B6D77" w:rsidRDefault="00202C68">
            <w:pPr>
              <w:rPr>
                <w:rFonts w:ascii="Source Sans Pro" w:eastAsia="Source Sans Pro" w:hAnsi="Source Sans Pro" w:cs="Source Sans Pro"/>
                <w:i/>
                <w:sz w:val="22"/>
                <w:szCs w:val="22"/>
              </w:rPr>
            </w:pPr>
            <w:r>
              <w:rPr>
                <w:rFonts w:ascii="Crimson" w:eastAsia="Crimson" w:hAnsi="Crimson" w:cs="Crimson"/>
                <w:b/>
                <w:sz w:val="22"/>
                <w:szCs w:val="22"/>
              </w:rPr>
              <w:t>Next Steps Toward Implementing Practice at Scale &amp; Timeline</w:t>
            </w:r>
          </w:p>
        </w:tc>
      </w:tr>
      <w:tr w:rsidR="009B6D77">
        <w:trPr>
          <w:jc w:val="center"/>
        </w:trPr>
        <w:tc>
          <w:tcPr>
            <w:tcW w:w="14986" w:type="dxa"/>
            <w:gridSpan w:val="4"/>
            <w:tcBorders>
              <w:bottom w:val="single" w:sz="4" w:space="0" w:color="000000"/>
            </w:tcBorders>
            <w:shd w:val="clear" w:color="auto" w:fill="DFEAF5"/>
            <w:tcMar>
              <w:top w:w="29" w:type="dxa"/>
              <w:bottom w:w="29" w:type="dxa"/>
            </w:tcMar>
          </w:tcPr>
          <w:p w:rsidR="009B6D77" w:rsidRDefault="00202C68">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3:</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institution support advisors to incorporate engaging, proactive, and culturally relevant advising practices to better support underrepresented students’ success in their programs?</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ensure that underrepresented students are not disproportionately directed away from competitive, limited access programs? </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integrate academic and student support services into pathways so that the support is unavoidable and therefore less stigmatized? </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college ensure that low-income students' financial stability needs (e.g., nutrition, transportation, childcare, public benefits, emergency assistance) are being met so they can make progress toward program completion?</w:t>
            </w:r>
          </w:p>
        </w:tc>
      </w:tr>
      <w:tr w:rsidR="009B6D77">
        <w:trPr>
          <w:jc w:val="center"/>
        </w:trPr>
        <w:tc>
          <w:tcPr>
            <w:tcW w:w="4315" w:type="dxa"/>
            <w:tcBorders>
              <w:bottom w:val="single" w:sz="4" w:space="0" w:color="000000"/>
            </w:tcBorders>
            <w:tcMar>
              <w:top w:w="29" w:type="dxa"/>
              <w:bottom w:w="29" w:type="dxa"/>
            </w:tcMar>
          </w:tcPr>
          <w:p w:rsidR="009B6D77" w:rsidRDefault="00202C68">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KEEPING STUDENTS ON PATH</w:t>
            </w:r>
          </w:p>
          <w:p w:rsidR="009B6D77" w:rsidRDefault="00202C68">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monitor which program every student is in and how far along the student is toward completing the program requirements.</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Some of the categorical programs (EOP&amp;S, CalWORKs </w:t>
            </w:r>
            <w:r w:rsidR="00CD66F7">
              <w:rPr>
                <w:rFonts w:ascii="Source Sans Pro" w:eastAsia="Source Sans Pro" w:hAnsi="Source Sans Pro" w:cs="Source Sans Pro"/>
                <w:sz w:val="22"/>
                <w:szCs w:val="22"/>
              </w:rPr>
              <w:t>and Veterans</w:t>
            </w:r>
            <w:r>
              <w:rPr>
                <w:rFonts w:ascii="Source Sans Pro" w:eastAsia="Source Sans Pro" w:hAnsi="Source Sans Pro" w:cs="Source Sans Pro"/>
                <w:sz w:val="22"/>
                <w:szCs w:val="22"/>
              </w:rPr>
              <w:t xml:space="preserve"> Resource Center) do monitor a student’s progress. This practice is not systemic.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IPASS team made a recommendation to obtain an SEL that would allow for monitoring of a student’s progress toward his/her goal. The SEL was selected (Hobsons Starfish and Connect) and ARC launched Starfish in the fall 2020.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Student Success Teams are working with individual students who are in Achieve and will be moving over to the Connect software for case management notes.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 fall 2020, ARC launched HomeBases to provide students in their second year and beyond with a success team including counselors, coaches, mentors, and faculty liaisons to support them through the completion of their journey at ARC.</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Los Rios Community College District has selected a degree planning (Degree Planner), course scheduling (Course Scheduler), and case management (Connect) suite of tools to support students.</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Student Success Teams will continue to monitor students and use education plans to track progress of students.</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2021</w:t>
            </w:r>
          </w:p>
        </w:tc>
      </w:tr>
      <w:tr w:rsidR="009B6D77">
        <w:trPr>
          <w:jc w:val="center"/>
        </w:trPr>
        <w:tc>
          <w:tcPr>
            <w:tcW w:w="6745" w:type="dxa"/>
            <w:gridSpan w:val="2"/>
            <w:tcBorders>
              <w:bottom w:val="single" w:sz="4" w:space="0" w:color="000000"/>
            </w:tcBorders>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a.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w:t>
            </w:r>
            <w:r>
              <w:rPr>
                <w:rFonts w:ascii="Source Sans Pro" w:eastAsia="Source Sans Pro" w:hAnsi="Source Sans Pro" w:cs="Source Sans Pro"/>
                <w:sz w:val="20"/>
                <w:szCs w:val="20"/>
              </w:rPr>
              <w:t xml:space="preserve">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sz w:val="22"/>
                <w:szCs w:val="22"/>
              </w:rPr>
            </w:pPr>
            <w:r>
              <w:rPr>
                <w:rFonts w:ascii="Calibri" w:eastAsia="Calibri" w:hAnsi="Calibri" w:cs="Calibri"/>
                <w:sz w:val="22"/>
                <w:szCs w:val="22"/>
              </w:rPr>
              <w:t xml:space="preserve">A system that provides a report of students below a </w:t>
            </w:r>
            <w:r w:rsidR="00CD66F7">
              <w:rPr>
                <w:rFonts w:ascii="Calibri" w:eastAsia="Calibri" w:hAnsi="Calibri" w:cs="Calibri"/>
                <w:sz w:val="22"/>
                <w:szCs w:val="22"/>
              </w:rPr>
              <w:t>certain completion percentage and/or student</w:t>
            </w:r>
            <w:r>
              <w:rPr>
                <w:rFonts w:ascii="Calibri" w:eastAsia="Calibri" w:hAnsi="Calibri" w:cs="Calibri"/>
                <w:sz w:val="22"/>
                <w:szCs w:val="22"/>
              </w:rPr>
              <w:t xml:space="preserve"> taking courses not a part of their roadmap would automate the process for Success Teams to identify students in distress.</w:t>
            </w: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w:t>
            </w:r>
            <w:r w:rsidR="00CD66F7">
              <w:rPr>
                <w:rFonts w:ascii="Source Sans Pro" w:eastAsia="Source Sans Pro" w:hAnsi="Source Sans Pro" w:cs="Source Sans Pro"/>
                <w:i/>
                <w:sz w:val="20"/>
                <w:szCs w:val="20"/>
              </w:rPr>
              <w:t>: (</w:t>
            </w:r>
            <w:r>
              <w:rPr>
                <w:rFonts w:ascii="Source Sans Pro" w:eastAsia="Source Sans Pro" w:hAnsi="Source Sans Pro" w:cs="Source Sans Pro"/>
                <w:i/>
                <w:sz w:val="20"/>
                <w:szCs w:val="20"/>
              </w:rPr>
              <w:t>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Our scheduling and planning tools are still being refined, thus reporting from these tools are not yet available.</w:t>
            </w:r>
          </w:p>
        </w:tc>
      </w:tr>
      <w:tr w:rsidR="009B6D77">
        <w:trPr>
          <w:jc w:val="center"/>
        </w:trPr>
        <w:tc>
          <w:tcPr>
            <w:tcW w:w="4315" w:type="dxa"/>
            <w:tcBorders>
              <w:top w:val="single" w:sz="4" w:space="0" w:color="000000"/>
            </w:tcBorders>
            <w:shd w:val="clear" w:color="auto" w:fill="F2F2F2"/>
            <w:tcMar>
              <w:top w:w="29" w:type="dxa"/>
              <w:bottom w:w="29" w:type="dxa"/>
            </w:tcMar>
          </w:tcPr>
          <w:p w:rsidR="009B6D77" w:rsidRDefault="00202C68">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can easily see how far they have come and what they need to do to complete their program.</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Students do have the ability to see a progress percentage in their eServices account.  However, it is very confusing because transfer credits are not included in the percentage.  Also, it depends on the student having the correct major in PeopleSoft.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Degree Planner is the tool that was launched in the Fall of 2020.  Students who declare an Associate Degree for Transfer have the ability to use the tool.</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receive “just-in-time” communication from their Success Teams about meeting a Counselor to update educational plans/goals each semester.</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Los Rios Community College District has launched the degree planning tool to assist students with their program.  As we continue to move forward, more degrees will be placed in the system to allow more students access to Degree Planner.</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tcBorders>
              <w:top w:val="single" w:sz="4" w:space="0" w:color="000000"/>
            </w:tcBorders>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b.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lastRenderedPageBreak/>
              <w:t>Technology                            Reporting/data</w:t>
            </w:r>
            <w:r>
              <w:rPr>
                <w:rFonts w:ascii="Source Sans Pro" w:eastAsia="Source Sans Pro" w:hAnsi="Source Sans Pro" w:cs="Source Sans Pro"/>
                <w:sz w:val="20"/>
                <w:szCs w:val="20"/>
              </w:rPr>
              <w:t xml:space="preserve">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sz w:val="22"/>
                <w:szCs w:val="22"/>
              </w:rPr>
            </w:pPr>
            <w:r>
              <w:rPr>
                <w:rFonts w:ascii="Calibri" w:eastAsia="Calibri" w:hAnsi="Calibri" w:cs="Calibri"/>
                <w:sz w:val="22"/>
                <w:szCs w:val="22"/>
              </w:rPr>
              <w:lastRenderedPageBreak/>
              <w:t>The District IT continues to develop the Degree Planner to encompass more majors/programs. At this time, we need to allow time for this to happen.</w:t>
            </w:r>
          </w:p>
          <w:p w:rsidR="009B6D77" w:rsidRDefault="009B6D77">
            <w:pPr>
              <w:rPr>
                <w:rFonts w:ascii="Calibri" w:eastAsia="Calibri" w:hAnsi="Calibri" w:cs="Calibri"/>
                <w:sz w:val="22"/>
                <w:szCs w:val="22"/>
              </w:rPr>
            </w:pPr>
          </w:p>
          <w:p w:rsidR="009B6D77" w:rsidRDefault="00202C68">
            <w:pPr>
              <w:rPr>
                <w:rFonts w:ascii="Calibri" w:eastAsia="Calibri" w:hAnsi="Calibri" w:cs="Calibri"/>
                <w:sz w:val="22"/>
                <w:szCs w:val="22"/>
              </w:rPr>
            </w:pPr>
            <w:r>
              <w:rPr>
                <w:rFonts w:ascii="Calibri" w:eastAsia="Calibri" w:hAnsi="Calibri" w:cs="Calibri"/>
                <w:sz w:val="22"/>
                <w:szCs w:val="22"/>
              </w:rPr>
              <w:t>As more programs become available, more new students will be introduced to the tools during the onboarding process.</w:t>
            </w:r>
          </w:p>
          <w:p w:rsidR="009B6D77" w:rsidRDefault="009B6D77">
            <w:pPr>
              <w:rPr>
                <w:rFonts w:ascii="Calibri" w:eastAsia="Calibri" w:hAnsi="Calibri" w:cs="Calibri"/>
                <w:sz w:val="18"/>
                <w:szCs w:val="18"/>
              </w:rPr>
            </w:pPr>
          </w:p>
        </w:tc>
        <w:tc>
          <w:tcPr>
            <w:tcW w:w="4051"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Technology support will continuously be needed.</w:t>
            </w:r>
          </w:p>
        </w:tc>
      </w:tr>
      <w:tr w:rsidR="009B6D77">
        <w:trPr>
          <w:jc w:val="center"/>
        </w:trPr>
        <w:tc>
          <w:tcPr>
            <w:tcW w:w="4315" w:type="dxa"/>
            <w:tcMar>
              <w:top w:w="29" w:type="dxa"/>
              <w:bottom w:w="29" w:type="dxa"/>
            </w:tcMar>
          </w:tcPr>
          <w:p w:rsidR="009B6D77" w:rsidRDefault="00202C68">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Advisors and students are alerted when students are at risk of falling off their program plans and have policies and supports in place to intervene in ways that help students get back on track.</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converted from using SARS alert to Hobsons Starfish as an early alert program. This launch occurred in fall 2020 with volunteer faculty using the system to raise flags and referrals.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Some programs currently utilize progress checks for students. In the Fall 2020, several faculty completed progress checks via Starfish.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Probation and Dismissal processes are currently being reviewed to be more student focused and provide support to students.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Los Rios Community College District selected Hobsons Starfish early alert tool.  ARC is still scaling the program and conducting Flex activities to provide information and training to faculty and staff.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 including access to resources such as books, library services, tutoring, food and other interventions that provide support to struggling students.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2020</w:t>
            </w:r>
          </w:p>
          <w:p w:rsidR="009B6D77" w:rsidRDefault="009B6D77">
            <w:pPr>
              <w:pBdr>
                <w:top w:val="nil"/>
                <w:left w:val="nil"/>
                <w:bottom w:val="nil"/>
                <w:right w:val="nil"/>
                <w:between w:val="nil"/>
              </w:pBdr>
              <w:rPr>
                <w:rFonts w:ascii="Source Sans Pro" w:eastAsia="Source Sans Pro" w:hAnsi="Source Sans Pro" w:cs="Source Sans Pro"/>
                <w:i/>
                <w:color w:val="000000"/>
                <w:sz w:val="22"/>
                <w:szCs w:val="22"/>
              </w:rPr>
            </w:pPr>
          </w:p>
        </w:tc>
      </w:tr>
      <w:tr w:rsidR="009B6D77">
        <w:trPr>
          <w:jc w:val="center"/>
        </w:trPr>
        <w:tc>
          <w:tcPr>
            <w:tcW w:w="6745"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c.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 xml:space="preserve">Regional training                 </w:t>
            </w:r>
            <w:r>
              <w:rPr>
                <w:rFonts w:ascii="Source Sans Pro" w:eastAsia="Source Sans Pro" w:hAnsi="Source Sans Pro" w:cs="Source Sans Pro"/>
                <w:sz w:val="20"/>
                <w:szCs w:val="20"/>
                <w:highlight w:val="yellow"/>
              </w:rPr>
              <w:t>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rPr>
            </w:pPr>
            <w:r>
              <w:rPr>
                <w:rFonts w:ascii="Source Sans Pro" w:eastAsia="Source Sans Pro" w:hAnsi="Source Sans Pro" w:cs="Source Sans Pro"/>
              </w:rPr>
              <w:lastRenderedPageBreak/>
              <w:t>More and more Instructional Faculty are encouraged each semester to utilize Starfish’s early alert system. This will allow Success Teams to support students more proactively.</w:t>
            </w:r>
          </w:p>
          <w:p w:rsidR="009B6D77" w:rsidRDefault="009B6D77">
            <w:pPr>
              <w:rPr>
                <w:rFonts w:ascii="Calibri" w:eastAsia="Calibri" w:hAnsi="Calibri" w:cs="Calibri"/>
                <w:sz w:val="18"/>
                <w:szCs w:val="18"/>
              </w:rPr>
            </w:pP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Onboarding Instructional Faculty onto Starfish.</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shd w:val="clear" w:color="auto" w:fill="F2F2F2"/>
            <w:tcMar>
              <w:top w:w="29" w:type="dxa"/>
              <w:bottom w:w="29" w:type="dxa"/>
            </w:tcMar>
          </w:tcPr>
          <w:p w:rsidR="009B6D77" w:rsidRDefault="00202C68">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Assistance is provided to students who are unlikely to be accepted into limited-access programs, such as nursing or culinary arts, to redirect them to another more viable path to credentials and a career</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Counselors provide information to students and assist them when students are unlikely to be accepted into a limited-access program. This only occurs if the student seeks assistance from Counseling. </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Limited-access programs also provide information to students when they are denied from the program. They direct students back to the Counseling Center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HomeBase Success Teams launch targeted communication campaigns to students below the GPA threshold for a limited-access program to proactively provide alternative/additional options and redirect students.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hanging="24"/>
              <w:rPr>
                <w:rFonts w:ascii="Source Sans Pro" w:eastAsia="Source Sans Pro" w:hAnsi="Source Sans Pro" w:cs="Source Sans Pro"/>
                <w:color w:val="000000"/>
                <w:sz w:val="22"/>
                <w:szCs w:val="22"/>
              </w:rPr>
            </w:pPr>
          </w:p>
        </w:tc>
        <w:tc>
          <w:tcPr>
            <w:tcW w:w="4051"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the College explores developing a type of student success course for students, information about limited access programs and options could be included that could give students guidance on options should they not be successful in being accepted. </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As career and needs assessment tools are included at the beginning of the onboarding process, students can be made aware of options and opportunities within an area of interest. This could broaden the opportunities for students wanting to enroll in limited-access programs.</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Connecting students who are denied access to major/career exploration services in a more streamlined and intentional way. A direct follow up and counseling appointment is needed.</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Categorical programs such as EOPS, CalWORKs and Veterans Resource Center, along with the three TRIO SSS programs, have regular and ongoing conversations with students as they explore various paths of study.  </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3. d.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highlight w:val="yellow"/>
              </w:rPr>
            </w:pPr>
            <w:r>
              <w:rPr>
                <w:rFonts w:ascii="Source Sans Pro" w:eastAsia="Source Sans Pro" w:hAnsi="Source Sans Pro" w:cs="Source Sans Pro"/>
                <w:sz w:val="20"/>
                <w:szCs w:val="20"/>
              </w:rPr>
              <w:t xml:space="preserve">Regional training                 </w:t>
            </w:r>
            <w:r>
              <w:rPr>
                <w:rFonts w:ascii="Source Sans Pro" w:eastAsia="Source Sans Pro" w:hAnsi="Source Sans Pro" w:cs="Source Sans Pro"/>
                <w:sz w:val="20"/>
                <w:szCs w:val="20"/>
                <w:highlight w:val="yellow"/>
              </w:rPr>
              <w:t>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highlight w:val="yellow"/>
              </w:rPr>
              <w:t>Technology                            Reporting/data</w:t>
            </w:r>
            <w:r>
              <w:rPr>
                <w:rFonts w:ascii="Source Sans Pro" w:eastAsia="Source Sans Pro" w:hAnsi="Source Sans Pro" w:cs="Source Sans Pro"/>
                <w:sz w:val="20"/>
                <w:szCs w:val="20"/>
              </w:rPr>
              <w:t xml:space="preserve">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rPr>
            </w:pPr>
            <w:r>
              <w:rPr>
                <w:rFonts w:ascii="Calibri" w:eastAsia="Calibri" w:hAnsi="Calibri" w:cs="Calibri"/>
              </w:rPr>
              <w:t>A report of critical gateway courses for each limited-access program that are clear indicators for concern if students are not earning a certain letter grade. Increased collaboration between Instructional and Counseling Faculty about program and application requirements.</w:t>
            </w:r>
          </w:p>
        </w:tc>
        <w:tc>
          <w:tcPr>
            <w:tcW w:w="4051"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Professional development opportunities will continuously be needed.  </w:t>
            </w:r>
          </w:p>
        </w:tc>
      </w:tr>
      <w:tr w:rsidR="009B6D77">
        <w:trPr>
          <w:jc w:val="center"/>
        </w:trPr>
        <w:tc>
          <w:tcPr>
            <w:tcW w:w="4315" w:type="dxa"/>
            <w:tcMar>
              <w:top w:w="29" w:type="dxa"/>
              <w:bottom w:w="29" w:type="dxa"/>
            </w:tcMar>
          </w:tcPr>
          <w:p w:rsidR="009B6D77" w:rsidRDefault="00202C68">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schedules courses to ensure students can take the courses they need when they need them, can plan their lives around school from one term to the next, and can complete their programs in as short a time as possible.</w:t>
            </w:r>
          </w:p>
          <w:p w:rsidR="009B6D77" w:rsidRDefault="009B6D77">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in the Career Technical Programs plan schedules that ensure students can take the courses when needed and for program completion.</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Los Rios Community College District has </w:t>
            </w:r>
            <w:r>
              <w:rPr>
                <w:rFonts w:ascii="Source Sans Pro" w:eastAsia="Source Sans Pro" w:hAnsi="Source Sans Pro" w:cs="Source Sans Pro"/>
                <w:sz w:val="22"/>
                <w:szCs w:val="22"/>
              </w:rPr>
              <w:t>purchased</w:t>
            </w:r>
            <w:r>
              <w:rPr>
                <w:rFonts w:ascii="Source Sans Pro" w:eastAsia="Source Sans Pro" w:hAnsi="Source Sans Pro" w:cs="Source Sans Pro"/>
                <w:color w:val="000000"/>
                <w:sz w:val="22"/>
                <w:szCs w:val="22"/>
              </w:rPr>
              <w:t xml:space="preserve"> an Enterprise Level Scheduling Solution (Ad Astra) to assist with the scheduling of classes and ensuring courses are offered when needed.  </w:t>
            </w:r>
            <w:r w:rsidR="00CD66F7">
              <w:rPr>
                <w:rFonts w:ascii="Source Sans Pro" w:eastAsia="Source Sans Pro" w:hAnsi="Source Sans Pro" w:cs="Source Sans Pro"/>
                <w:color w:val="000000"/>
                <w:sz w:val="22"/>
                <w:szCs w:val="22"/>
              </w:rPr>
              <w:t>Also,</w:t>
            </w:r>
            <w:r>
              <w:rPr>
                <w:rFonts w:ascii="Source Sans Pro" w:eastAsia="Source Sans Pro" w:hAnsi="Source Sans Pro" w:cs="Source Sans Pro"/>
                <w:color w:val="000000"/>
                <w:sz w:val="22"/>
                <w:szCs w:val="22"/>
              </w:rPr>
              <w:t xml:space="preserve"> with the launch of Degree Planner and Schedule Builder, programs will have data to plan for courses students need.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uses Ad Astra to build more precise, student-centered scheduling. Additionally, the Los Rios District recently purchased a more robust course scheduling/search system that will help students identify their needed courses at times/days that match their availability.  </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3. e.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lastRenderedPageBreak/>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Source Sans Pro" w:eastAsia="Source Sans Pro" w:hAnsi="Source Sans Pro" w:cs="Source Sans Pro"/>
                <w:i/>
                <w:sz w:val="22"/>
                <w:szCs w:val="22"/>
              </w:rPr>
            </w:pPr>
          </w:p>
        </w:tc>
        <w:tc>
          <w:tcPr>
            <w:tcW w:w="4051" w:type="dxa"/>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bl>
    <w:p w:rsidR="009B6D77" w:rsidRDefault="009B6D77">
      <w:pPr>
        <w:rPr>
          <w:rFonts w:ascii="Source Sans Pro" w:eastAsia="Source Sans Pro" w:hAnsi="Source Sans Pro" w:cs="Source Sans Pro"/>
        </w:rPr>
      </w:pPr>
    </w:p>
    <w:p w:rsidR="009B6D77" w:rsidRDefault="009B6D77">
      <w:pPr>
        <w:rPr>
          <w:rFonts w:ascii="Source Sans Pro" w:eastAsia="Source Sans Pro" w:hAnsi="Source Sans Pro" w:cs="Source Sans Pro"/>
        </w:rPr>
      </w:pPr>
    </w:p>
    <w:p w:rsidR="009B6D77" w:rsidRDefault="00202C68">
      <w:pPr>
        <w:rPr>
          <w:rFonts w:ascii="Source Sans Pro" w:eastAsia="Source Sans Pro" w:hAnsi="Source Sans Pro" w:cs="Source Sans Pro"/>
        </w:rPr>
      </w:pPr>
      <w:r>
        <w:br w:type="page"/>
      </w:r>
    </w:p>
    <w:tbl>
      <w:tblPr>
        <w:tblStyle w:val="a3"/>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3910"/>
        <w:gridCol w:w="141"/>
      </w:tblGrid>
      <w:tr w:rsidR="009B6D77">
        <w:trPr>
          <w:trHeight w:val="611"/>
          <w:tblHeader/>
          <w:jc w:val="center"/>
        </w:trPr>
        <w:tc>
          <w:tcPr>
            <w:tcW w:w="4315"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9B6D77" w:rsidRDefault="00202C68">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gridSpan w:val="2"/>
            <w:shd w:val="clear" w:color="auto" w:fill="B8CCE4"/>
            <w:vAlign w:val="center"/>
          </w:tcPr>
          <w:p w:rsidR="009B6D77" w:rsidRDefault="00202C68">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9B6D77">
        <w:trPr>
          <w:trHeight w:val="1284"/>
          <w:jc w:val="center"/>
        </w:trPr>
        <w:tc>
          <w:tcPr>
            <w:tcW w:w="14986" w:type="dxa"/>
            <w:gridSpan w:val="5"/>
            <w:shd w:val="clear" w:color="auto" w:fill="DFEAF5"/>
            <w:tcMar>
              <w:top w:w="29" w:type="dxa"/>
              <w:bottom w:w="29" w:type="dxa"/>
            </w:tcMar>
          </w:tcPr>
          <w:p w:rsidR="009B6D77" w:rsidRDefault="00202C68">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4:</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is the college ensuring that underrepresented students participate in program-relevant active and experiential learning opportunities?</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As faculty make curricular changes to better align course assignments with program learning outcomes, how does the college support faculty to implement pedagogical changes that better support learning outcomes success for underrepresented students (e.g., culturally responsive teaching)?</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What opportunities exist for faculty or advisors to critically examine their role in advancing equity-minded teaching and advising practices at the college (e.g., critically examining the role of unconscious bias in the classroom or advising that could affect student aspirations for a particular field and/or program selection)?</w:t>
            </w:r>
          </w:p>
          <w:p w:rsidR="009B6D77" w:rsidRDefault="00202C68">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Is the college disaggregating program learning outcomes data, program retention and completion data, and other assessment measures by race, income, age, and gender to examine equity gaps? How is this data disseminated and discussed among college staff, with students, and with the outside community?</w:t>
            </w:r>
            <w:r>
              <w:rPr>
                <w:rFonts w:ascii="Source Sans Pro" w:eastAsia="Source Sans Pro" w:hAnsi="Source Sans Pro" w:cs="Source Sans Pro"/>
                <w:i/>
                <w:color w:val="000000"/>
                <w:sz w:val="22"/>
                <w:szCs w:val="22"/>
              </w:rPr>
              <w:t xml:space="preserve"> </w:t>
            </w:r>
          </w:p>
        </w:tc>
      </w:tr>
      <w:tr w:rsidR="009B6D77">
        <w:trPr>
          <w:jc w:val="center"/>
        </w:trPr>
        <w:tc>
          <w:tcPr>
            <w:tcW w:w="4315" w:type="dxa"/>
            <w:tcBorders>
              <w:bottom w:val="single" w:sz="4" w:space="0" w:color="000000"/>
            </w:tcBorders>
            <w:tcMar>
              <w:top w:w="29" w:type="dxa"/>
              <w:bottom w:w="29" w:type="dxa"/>
            </w:tcMar>
          </w:tcPr>
          <w:p w:rsidR="009B6D77" w:rsidRDefault="00202C68">
            <w:pPr>
              <w:numPr>
                <w:ilvl w:val="0"/>
                <w:numId w:val="5"/>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ENSURING THAT STUDENTS ARE LEARNING</w:t>
            </w:r>
          </w:p>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Program learning outcomes are aligned with the requirements for success in the further education and employment outcomes targeted by each program.</w:t>
            </w:r>
          </w:p>
          <w:p w:rsidR="009B6D77" w:rsidRDefault="009B6D77">
            <w:pPr>
              <w:pBdr>
                <w:top w:val="nil"/>
                <w:left w:val="nil"/>
                <w:bottom w:val="nil"/>
                <w:right w:val="nil"/>
                <w:between w:val="nil"/>
              </w:pBdr>
              <w:ind w:left="360" w:hanging="360"/>
              <w:rPr>
                <w:rFonts w:ascii="Source Sans Pro" w:eastAsia="Source Sans Pro" w:hAnsi="Source Sans Pro" w:cs="Source Sans Pro"/>
                <w:color w:val="000000"/>
              </w:rPr>
            </w:pP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 learning outcomes are aligned with requirements for success in each program.  Success in the programs are aligned with the prerequisites for success in further education and/or employment outcomes targeted by each program.</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gridSpan w:val="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Fall 2022</w:t>
            </w:r>
          </w:p>
        </w:tc>
      </w:tr>
      <w:tr w:rsidR="009B6D77">
        <w:trPr>
          <w:jc w:val="center"/>
        </w:trPr>
        <w:tc>
          <w:tcPr>
            <w:tcW w:w="6745" w:type="dxa"/>
            <w:gridSpan w:val="2"/>
            <w:tcBorders>
              <w:bottom w:val="single" w:sz="4" w:space="0" w:color="000000"/>
            </w:tcBorders>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a.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4051" w:type="dxa"/>
            <w:gridSpan w:val="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gridAfter w:val="1"/>
          <w:wAfter w:w="141" w:type="dxa"/>
          <w:jc w:val="center"/>
        </w:trPr>
        <w:tc>
          <w:tcPr>
            <w:tcW w:w="4315" w:type="dxa"/>
            <w:tcBorders>
              <w:top w:val="single" w:sz="4" w:space="0" w:color="000000"/>
            </w:tcBorders>
            <w:shd w:val="clear" w:color="auto" w:fill="F2F2F2"/>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Instruction across programs (especially in program introductory courses) engages students in active and applied learning, encouraging them to think critically, solve meaningful problems, and work and communicate effectively </w:t>
            </w:r>
            <w:r>
              <w:rPr>
                <w:rFonts w:ascii="Source Sans Pro" w:eastAsia="Source Sans Pro" w:hAnsi="Source Sans Pro" w:cs="Source Sans Pro"/>
                <w:color w:val="000000"/>
                <w:sz w:val="22"/>
                <w:szCs w:val="22"/>
              </w:rPr>
              <w:lastRenderedPageBreak/>
              <w:t xml:space="preserve">with others. </w:t>
            </w:r>
            <w:r>
              <w:rPr>
                <w:rFonts w:ascii="Source Sans Pro" w:eastAsia="Source Sans Pro" w:hAnsi="Source Sans Pro" w:cs="Source Sans Pro"/>
                <w:i/>
                <w:color w:val="000000"/>
                <w:sz w:val="22"/>
                <w:szCs w:val="22"/>
              </w:rPr>
              <w:t>(Note: This practice was added to the SOAA in February 2019)</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   </w:t>
            </w:r>
            <w:r>
              <w:rPr>
                <w:rFonts w:ascii="Source Sans Pro" w:eastAsia="Source Sans Pro" w:hAnsi="Source Sans Pro" w:cs="Source Sans Pro"/>
                <w:sz w:val="22"/>
                <w:szCs w:val="22"/>
                <w:highlight w:val="yellow"/>
              </w:rPr>
              <w:t>At scale</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a robust and supportive curriculum that engages students in active and applied learning.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 xml:space="preserve">Courses are reviewed by the Curriculum Committee on a </w:t>
            </w:r>
            <w:r w:rsidR="00CD66F7">
              <w:rPr>
                <w:rFonts w:ascii="Source Sans Pro" w:eastAsia="Source Sans Pro" w:hAnsi="Source Sans Pro" w:cs="Source Sans Pro"/>
                <w:color w:val="000000"/>
                <w:sz w:val="22"/>
                <w:szCs w:val="22"/>
              </w:rPr>
              <w:t>six-year</w:t>
            </w:r>
            <w:r>
              <w:rPr>
                <w:rFonts w:ascii="Source Sans Pro" w:eastAsia="Source Sans Pro" w:hAnsi="Source Sans Pro" w:cs="Source Sans Pro"/>
                <w:color w:val="000000"/>
                <w:sz w:val="22"/>
                <w:szCs w:val="22"/>
              </w:rPr>
              <w:t xml:space="preserve"> cycle.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structured to prepare students for transfer or </w:t>
            </w:r>
            <w:r>
              <w:rPr>
                <w:rFonts w:ascii="Source Sans Pro" w:eastAsia="Source Sans Pro" w:hAnsi="Source Sans Pro" w:cs="Source Sans Pro"/>
                <w:sz w:val="22"/>
                <w:szCs w:val="22"/>
              </w:rPr>
              <w:t>entering a</w:t>
            </w:r>
            <w:r>
              <w:rPr>
                <w:rFonts w:ascii="Source Sans Pro" w:eastAsia="Source Sans Pro" w:hAnsi="Source Sans Pro" w:cs="Source Sans Pro"/>
                <w:color w:val="000000"/>
                <w:sz w:val="22"/>
                <w:szCs w:val="22"/>
              </w:rPr>
              <w:t xml:space="preserve"> career.</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Typical student assignments are aligned to the SLOs they assess and </w:t>
            </w:r>
            <w:r>
              <w:rPr>
                <w:rFonts w:ascii="Source Sans Pro" w:eastAsia="Source Sans Pro" w:hAnsi="Source Sans Pro" w:cs="Source Sans Pro"/>
                <w:sz w:val="22"/>
                <w:szCs w:val="22"/>
              </w:rPr>
              <w:t>evaluate</w:t>
            </w:r>
            <w:r>
              <w:rPr>
                <w:rFonts w:ascii="Source Sans Pro" w:eastAsia="Source Sans Pro" w:hAnsi="Source Sans Pro" w:cs="Source Sans Pro"/>
                <w:color w:val="000000"/>
                <w:sz w:val="22"/>
                <w:szCs w:val="22"/>
              </w:rPr>
              <w:t xml:space="preserve"> by the curriculum committee as well. Faculty document the use of authentic assessments which require students to think critically, apply knowledge, and/ or to solve real world problems. These assessments also demonstrate that instruction promotes students’ ability to work and communicate effectively with others.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9B6D77" w:rsidRDefault="009B6D77">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3910" w:type="dxa"/>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Fall 2022</w:t>
            </w:r>
          </w:p>
        </w:tc>
      </w:tr>
      <w:tr w:rsidR="009B6D77">
        <w:trPr>
          <w:gridAfter w:val="1"/>
          <w:wAfter w:w="141" w:type="dxa"/>
          <w:jc w:val="center"/>
        </w:trPr>
        <w:tc>
          <w:tcPr>
            <w:tcW w:w="6745" w:type="dxa"/>
            <w:gridSpan w:val="2"/>
            <w:tcBorders>
              <w:top w:val="single" w:sz="4" w:space="0" w:color="000000"/>
            </w:tcBorders>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b.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3910" w:type="dxa"/>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tcBorders>
              <w:top w:val="single" w:sz="4" w:space="0" w:color="000000"/>
            </w:tcBorders>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Students have ample opportunity to apply and deepen knowledge and skills through projects, internships, co-ops, clinical placements, group projects </w:t>
            </w:r>
            <w:r>
              <w:rPr>
                <w:rFonts w:ascii="Source Sans Pro" w:eastAsia="Source Sans Pro" w:hAnsi="Source Sans Pro" w:cs="Source Sans Pro"/>
                <w:color w:val="000000"/>
                <w:sz w:val="22"/>
                <w:szCs w:val="22"/>
              </w:rPr>
              <w:lastRenderedPageBreak/>
              <w:t>outside of class, service learning, study abroad and other experiential learning activities that program faculty intentionally embed into coursework.</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Several programs, especially in the Career Education areas, have included </w:t>
            </w:r>
            <w:r>
              <w:rPr>
                <w:rFonts w:ascii="Source Sans Pro" w:eastAsia="Source Sans Pro" w:hAnsi="Source Sans Pro" w:cs="Source Sans Pro"/>
                <w:color w:val="000000"/>
                <w:sz w:val="22"/>
                <w:szCs w:val="22"/>
              </w:rPr>
              <w:lastRenderedPageBreak/>
              <w:t>internships, clinical placements, and other types of coursework.</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rPr>
                <w:rFonts w:ascii="Source Sans Pro" w:eastAsia="Source Sans Pro" w:hAnsi="Source Sans Pro" w:cs="Source Sans Pro"/>
                <w:i/>
                <w:sz w:val="22"/>
                <w:szCs w:val="22"/>
              </w:rPr>
            </w:pPr>
          </w:p>
        </w:tc>
        <w:tc>
          <w:tcPr>
            <w:tcW w:w="4051" w:type="dxa"/>
            <w:gridSpan w:val="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program maps are being completed by faculty using the PSLO Mapper and with the Case Management Tool and </w:t>
            </w:r>
            <w:r>
              <w:rPr>
                <w:rFonts w:ascii="Source Sans Pro" w:eastAsia="Source Sans Pro" w:hAnsi="Source Sans Pro" w:cs="Source Sans Pro"/>
                <w:sz w:val="22"/>
                <w:szCs w:val="22"/>
              </w:rPr>
              <w:lastRenderedPageBreak/>
              <w:t>Scheduling Software, the college will continue to explore ways to provide opportunities for students to gain experience in more of a hands-on environment.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2022</w:t>
            </w:r>
          </w:p>
        </w:tc>
      </w:tr>
      <w:tr w:rsidR="009B6D77">
        <w:trPr>
          <w:jc w:val="center"/>
        </w:trPr>
        <w:tc>
          <w:tcPr>
            <w:tcW w:w="6745" w:type="dxa"/>
            <w:gridSpan w:val="2"/>
            <w:tcBorders>
              <w:top w:val="single" w:sz="4" w:space="0" w:color="000000"/>
            </w:tcBorders>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c.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4051" w:type="dxa"/>
            <w:gridSpan w:val="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shd w:val="clear" w:color="auto" w:fill="F2F2F2"/>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Faculty/programs assess whether students are mastering learning outcomes and building skills across each program, in both arts and sciences and career/technical programs.</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Faculty assess students' mastery of learning outcomes. This description from </w:t>
            </w:r>
            <w:r w:rsidR="00CD66F7">
              <w:rPr>
                <w:rFonts w:ascii="Source Sans Pro" w:eastAsia="Source Sans Pro" w:hAnsi="Source Sans Pro" w:cs="Source Sans Pro"/>
                <w:color w:val="000000"/>
                <w:sz w:val="22"/>
                <w:szCs w:val="22"/>
              </w:rPr>
              <w:t>the ARC</w:t>
            </w:r>
            <w:r>
              <w:rPr>
                <w:rFonts w:ascii="Source Sans Pro" w:eastAsia="Source Sans Pro" w:hAnsi="Source Sans Pro" w:cs="Source Sans Pro"/>
                <w:color w:val="000000"/>
                <w:sz w:val="22"/>
                <w:szCs w:val="22"/>
              </w:rPr>
              <w:t xml:space="preserve"> SLO Website describes the </w:t>
            </w:r>
            <w:r w:rsidR="00CD66F7">
              <w:rPr>
                <w:rFonts w:ascii="Source Sans Pro" w:eastAsia="Source Sans Pro" w:hAnsi="Source Sans Pro" w:cs="Source Sans Pro"/>
                <w:color w:val="000000"/>
                <w:sz w:val="22"/>
                <w:szCs w:val="22"/>
              </w:rPr>
              <w:t>process:</w:t>
            </w:r>
            <w:r>
              <w:rPr>
                <w:rFonts w:ascii="Source Sans Pro" w:eastAsia="Source Sans Pro" w:hAnsi="Source Sans Pro" w:cs="Source Sans Pro"/>
                <w:color w:val="000000"/>
                <w:sz w:val="22"/>
                <w:szCs w:val="22"/>
              </w:rPr>
              <w:t xml:space="preserve"> “Each student’s achievement of the SLOs for each course is assessed on a continual and routine basis by each professor in each class that they teach; this is done as part of their professional practices. Each year, faculty document student achievement for a randomly assigned course SLO using the Authentic Assessment Review Record, which involves a review of student work demonstrating achievement of the course SLO. ARC faculty continuously uses assessment results to plan for </w:t>
            </w:r>
            <w:r>
              <w:rPr>
                <w:rFonts w:ascii="Source Sans Pro" w:eastAsia="Source Sans Pro" w:hAnsi="Source Sans Pro" w:cs="Source Sans Pro"/>
                <w:color w:val="000000"/>
                <w:sz w:val="22"/>
                <w:szCs w:val="22"/>
              </w:rPr>
              <w:lastRenderedPageBreak/>
              <w:t>improvement. As part of our professional duties as a faculty, we are constantly looking for ways to make improvements in our own classes. In addition, each department is tasked with reviewing the results of their aggregate achievement; using this information to look for ways to improve student achievement. Departmental efforts are documented using the SLO Departmental Action Plan (2018-2019) or as part of Annual Unit Planning (beginning in 2019-2020). The Departmental Action Plan/Annual Unit Plan takes into account any departmental requests for action (e.g., curriculum actions, professional development, resource requests) based on the SLO assessment results. In the Annual Unit Plan, these actions will also be aligned with the college’s strategic plan goals and objectives.”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9B6D77" w:rsidRDefault="009B6D77">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18"/>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d.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4051" w:type="dxa"/>
            <w:gridSpan w:val="2"/>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lastRenderedPageBreak/>
              <w:t>Results of learning outcomes assessments are used to improve teaching and learning through program review, professional development, and other intentional campus efforts.</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Faculty use the results of learning outcomes assessment to improve effectiveness of instruction. Learning outcome assessment is seamlessly integrated into the practices of the college such as curriculum tech review, program review, and annual unit planning. They are assessed and the data is evaluated for continued improvement.</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2016</w:t>
            </w:r>
          </w:p>
          <w:p w:rsidR="009B6D77" w:rsidRDefault="009B6D77">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Continuous improvement.</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18"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2022</w:t>
            </w:r>
          </w:p>
        </w:tc>
      </w:tr>
      <w:tr w:rsidR="009B6D77">
        <w:trPr>
          <w:jc w:val="center"/>
        </w:trPr>
        <w:tc>
          <w:tcPr>
            <w:tcW w:w="6745"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4. e.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tc>
        <w:tc>
          <w:tcPr>
            <w:tcW w:w="4051" w:type="dxa"/>
            <w:gridSpan w:val="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r w:rsidR="009B6D77">
        <w:trPr>
          <w:jc w:val="center"/>
        </w:trPr>
        <w:tc>
          <w:tcPr>
            <w:tcW w:w="4315" w:type="dxa"/>
            <w:shd w:val="clear" w:color="auto" w:fill="F2F2F2"/>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helps students document their learning for employers and universities through portfolios and other means beyond transcripts.</w:t>
            </w:r>
          </w:p>
        </w:tc>
        <w:tc>
          <w:tcPr>
            <w:tcW w:w="2430" w:type="dxa"/>
            <w:shd w:val="clear" w:color="auto" w:fill="F2F2F2"/>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has Work Experience courses that </w:t>
            </w:r>
            <w:r>
              <w:rPr>
                <w:rFonts w:ascii="Source Sans Pro" w:eastAsia="Source Sans Pro" w:hAnsi="Source Sans Pro" w:cs="Source Sans Pro"/>
                <w:sz w:val="22"/>
                <w:szCs w:val="22"/>
              </w:rPr>
              <w:t>allow</w:t>
            </w:r>
            <w:r>
              <w:rPr>
                <w:rFonts w:ascii="Source Sans Pro" w:eastAsia="Source Sans Pro" w:hAnsi="Source Sans Pro" w:cs="Source Sans Pro"/>
                <w:color w:val="000000"/>
                <w:sz w:val="22"/>
                <w:szCs w:val="22"/>
              </w:rPr>
              <w:t xml:space="preserve"> students to document their learning and use the documents to demonstrate learning for employers and universities.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Several Career Technical Programs also have students create portfolios to present to prospective employers.</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Plans are in place to expand Work Experience courses that allow students to document their learning and use the documents to demonstrate learning for employers and universities.</w:t>
            </w:r>
          </w:p>
          <w:p w:rsidR="009B6D77" w:rsidRDefault="009B6D77">
            <w:pPr>
              <w:rPr>
                <w:rFonts w:ascii="Source Sans Pro" w:eastAsia="Source Sans Pro" w:hAnsi="Source Sans Pro" w:cs="Source Sans Pro"/>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CaPSS regularly offers resume development assistance to students either via one-on-one appointments, </w:t>
            </w:r>
            <w:r>
              <w:rPr>
                <w:rFonts w:ascii="Source Sans Pro" w:eastAsia="Source Sans Pro" w:hAnsi="Source Sans Pro" w:cs="Source Sans Pro"/>
                <w:sz w:val="22"/>
                <w:szCs w:val="22"/>
              </w:rPr>
              <w:lastRenderedPageBreak/>
              <w:t>workshops, classroom presentation and career fair events. Additionally, support is provided on topics such as job search, interview preparation, personality assessment tools, and industry-specific training. Each of these resources are designed to develop students’ portfolios and skills to promote academic and ultimately career success.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2022</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9B6D77">
        <w:trPr>
          <w:jc w:val="center"/>
        </w:trPr>
        <w:tc>
          <w:tcPr>
            <w:tcW w:w="6745" w:type="dxa"/>
            <w:gridSpan w:val="2"/>
            <w:shd w:val="clear" w:color="auto" w:fill="F2F2F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f.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Policy guidance                    </w:t>
            </w:r>
            <w:r>
              <w:rPr>
                <w:rFonts w:ascii="Source Sans Pro" w:eastAsia="Source Sans Pro" w:hAnsi="Source Sans Pro" w:cs="Source Sans Pro"/>
                <w:sz w:val="20"/>
                <w:szCs w:val="20"/>
                <w:highlight w:val="yellow"/>
              </w:rPr>
              <w:t>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Calibri" w:eastAsia="Calibri" w:hAnsi="Calibri" w:cs="Calibri"/>
                <w:sz w:val="18"/>
                <w:szCs w:val="18"/>
              </w:rPr>
            </w:pPr>
          </w:p>
          <w:p w:rsidR="009B6D77" w:rsidRDefault="00202C68">
            <w:pPr>
              <w:rPr>
                <w:rFonts w:ascii="Calibri" w:eastAsia="Calibri" w:hAnsi="Calibri" w:cs="Calibri"/>
              </w:rPr>
            </w:pPr>
            <w:r>
              <w:rPr>
                <w:rFonts w:ascii="Calibri" w:eastAsia="Calibri" w:hAnsi="Calibri" w:cs="Calibri"/>
              </w:rPr>
              <w:t>Given the size of the college, scaling these services/supports can be challenging. We will continue to pursue opportunities to assist students via resources such as CaPSS, HomeBases, HCD and other department-specific events that support portfolio development.</w:t>
            </w:r>
          </w:p>
        </w:tc>
        <w:tc>
          <w:tcPr>
            <w:tcW w:w="4051" w:type="dxa"/>
            <w:gridSpan w:val="2"/>
            <w:shd w:val="clear" w:color="auto" w:fill="F2F2F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Connection with other colleges on how they are handling the scaling of the process.</w:t>
            </w:r>
          </w:p>
        </w:tc>
      </w:tr>
      <w:tr w:rsidR="009B6D77">
        <w:trPr>
          <w:jc w:val="center"/>
        </w:trPr>
        <w:tc>
          <w:tcPr>
            <w:tcW w:w="4315" w:type="dxa"/>
            <w:tcMar>
              <w:top w:w="29" w:type="dxa"/>
              <w:bottom w:w="29" w:type="dxa"/>
            </w:tcMar>
          </w:tcPr>
          <w:p w:rsidR="009B6D77" w:rsidRDefault="00202C68">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assesses effectiveness of educational practice (e.g. using CCSSE or SENSE, etc.) and uses the results to create targeted professional development.</w:t>
            </w:r>
          </w:p>
        </w:tc>
        <w:tc>
          <w:tcPr>
            <w:tcW w:w="2430" w:type="dxa"/>
            <w:tcMar>
              <w:top w:w="29" w:type="dxa"/>
              <w:bottom w:w="29" w:type="dxa"/>
            </w:tcMar>
            <w:vAlign w:val="cente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Source Sans Pro" w:eastAsia="Source Sans Pro" w:hAnsi="Source Sans Pro" w:cs="Source Sans Pro"/>
                <w:sz w:val="22"/>
                <w:szCs w:val="22"/>
                <w:highlight w:val="yellow"/>
              </w:rPr>
              <w:t>Planning to scale</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9B6D77" w:rsidRDefault="00202C68">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9B6D77" w:rsidRDefault="009B6D77">
            <w:pPr>
              <w:ind w:left="60"/>
              <w:rPr>
                <w:rFonts w:ascii="Source Sans Pro" w:eastAsia="Source Sans Pro" w:hAnsi="Source Sans Pro" w:cs="Source Sans Pro"/>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participates in CCSSE and the SENSE surveys. </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CD66F7">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w:t>
            </w:r>
            <w:r w:rsidR="00202C68">
              <w:rPr>
                <w:rFonts w:ascii="Source Sans Pro" w:eastAsia="Source Sans Pro" w:hAnsi="Source Sans Pro" w:cs="Source Sans Pro"/>
                <w:color w:val="000000"/>
                <w:sz w:val="22"/>
                <w:szCs w:val="22"/>
              </w:rPr>
              <w:t xml:space="preserve"> has a robust professional development series for faculty, staff, and administrators. Currently, the New </w:t>
            </w:r>
            <w:r w:rsidR="00202C68">
              <w:rPr>
                <w:rFonts w:ascii="Source Sans Pro" w:eastAsia="Source Sans Pro" w:hAnsi="Source Sans Pro" w:cs="Source Sans Pro"/>
                <w:color w:val="000000"/>
                <w:sz w:val="22"/>
                <w:szCs w:val="22"/>
              </w:rPr>
              <w:lastRenderedPageBreak/>
              <w:t>Faculty Academy is for all new full-time faculty. It is a year-long cohort experience designed to support full-time faculty in their first year as tenure-track faculty. The goal of this academy is excellence in teaching and working with students through an equity framework.</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Also, the Equity Action Institute is available for all faculty (full and part-time) to participate in a series of workshops focused on equity, social justice, and diversity in teaching.</w:t>
            </w:r>
          </w:p>
          <w:p w:rsidR="009B6D77" w:rsidRDefault="009B6D77">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9B6D77" w:rsidRDefault="00202C68">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9B6D77" w:rsidRDefault="009B6D77">
            <w:pPr>
              <w:rPr>
                <w:rFonts w:ascii="Source Sans Pro" w:eastAsia="Source Sans Pro" w:hAnsi="Source Sans Pro" w:cs="Source Sans Pro"/>
                <w:i/>
                <w:sz w:val="22"/>
                <w:szCs w:val="22"/>
              </w:rPr>
            </w:pPr>
          </w:p>
        </w:tc>
        <w:tc>
          <w:tcPr>
            <w:tcW w:w="4051" w:type="dxa"/>
            <w:gridSpan w:val="2"/>
          </w:tcPr>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9B6D77" w:rsidRDefault="009B6D77">
            <w:pPr>
              <w:ind w:left="54"/>
              <w:rPr>
                <w:rFonts w:ascii="Calibri" w:eastAsia="Calibri" w:hAnsi="Calibri" w:cs="Calibri"/>
                <w:sz w:val="18"/>
                <w:szCs w:val="18"/>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continues to focus on professional development for all members in the community.  Currently a design team is exploring and making recommendations for the entire college regarding professional development </w:t>
            </w:r>
            <w:r>
              <w:rPr>
                <w:rFonts w:ascii="Source Sans Pro" w:eastAsia="Source Sans Pro" w:hAnsi="Source Sans Pro" w:cs="Source Sans Pro"/>
                <w:sz w:val="22"/>
                <w:szCs w:val="22"/>
              </w:rPr>
              <w:lastRenderedPageBreak/>
              <w:t>activities.  The report will be completed in the spring 2020 semester with implementation taking place starting in Fall 2020.</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9B6D77" w:rsidRDefault="009B6D77">
            <w:pPr>
              <w:rPr>
                <w:rFonts w:ascii="Source Sans Pro" w:eastAsia="Source Sans Pro" w:hAnsi="Source Sans Pro" w:cs="Source Sans Pro"/>
                <w:i/>
                <w:sz w:val="22"/>
                <w:szCs w:val="22"/>
              </w:rPr>
            </w:pPr>
          </w:p>
          <w:p w:rsidR="009B6D77" w:rsidRDefault="00202C68">
            <w:pPr>
              <w:rPr>
                <w:rFonts w:ascii="Source Sans Pro" w:eastAsia="Source Sans Pro" w:hAnsi="Source Sans Pro" w:cs="Source Sans Pro"/>
                <w:sz w:val="22"/>
                <w:szCs w:val="22"/>
              </w:rPr>
            </w:pPr>
            <w:r>
              <w:rPr>
                <w:rFonts w:ascii="Source Sans Pro" w:eastAsia="Source Sans Pro" w:hAnsi="Source Sans Pro" w:cs="Source Sans Pro"/>
                <w:sz w:val="22"/>
                <w:szCs w:val="22"/>
              </w:rPr>
              <w:t>Fall 2019</w:t>
            </w:r>
          </w:p>
        </w:tc>
      </w:tr>
      <w:tr w:rsidR="009B6D77">
        <w:trPr>
          <w:jc w:val="center"/>
        </w:trPr>
        <w:tc>
          <w:tcPr>
            <w:tcW w:w="6745" w:type="dxa"/>
            <w:gridSpan w:val="2"/>
            <w:tcMar>
              <w:top w:w="29" w:type="dxa"/>
              <w:bottom w:w="29" w:type="dxa"/>
            </w:tcMar>
          </w:tcPr>
          <w:p w:rsidR="009B6D77" w:rsidRDefault="00202C68">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4. g.  Support Needed?   </w:t>
            </w:r>
            <w:r>
              <w:rPr>
                <w:rFonts w:ascii="Source Sans Pro" w:eastAsia="Source Sans Pro" w:hAnsi="Source Sans Pro" w:cs="Source Sans Pro"/>
                <w:i/>
                <w:sz w:val="20"/>
                <w:szCs w:val="20"/>
              </w:rPr>
              <w:t>Type of Support - place an X next to one or more:</w:t>
            </w:r>
          </w:p>
          <w:p w:rsidR="009B6D77" w:rsidRDefault="00202C68">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9B6D77" w:rsidRDefault="00202C68">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9B6D77" w:rsidRDefault="00202C68">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190" w:type="dxa"/>
            <w:tcMar>
              <w:top w:w="29" w:type="dxa"/>
              <w:bottom w:w="29" w:type="dxa"/>
            </w:tcMar>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9B6D77" w:rsidRDefault="009B6D77">
            <w:pPr>
              <w:rPr>
                <w:rFonts w:ascii="Source Sans Pro" w:eastAsia="Source Sans Pro" w:hAnsi="Source Sans Pro" w:cs="Source Sans Pro"/>
                <w:i/>
                <w:sz w:val="22"/>
                <w:szCs w:val="22"/>
              </w:rPr>
            </w:pPr>
          </w:p>
        </w:tc>
        <w:tc>
          <w:tcPr>
            <w:tcW w:w="4051" w:type="dxa"/>
            <w:gridSpan w:val="2"/>
          </w:tcPr>
          <w:p w:rsidR="009B6D77" w:rsidRDefault="009B6D77">
            <w:pPr>
              <w:rPr>
                <w:rFonts w:ascii="Source Sans Pro" w:eastAsia="Source Sans Pro" w:hAnsi="Source Sans Pro" w:cs="Source Sans Pro"/>
                <w:i/>
                <w:sz w:val="20"/>
                <w:szCs w:val="20"/>
              </w:rPr>
            </w:pPr>
          </w:p>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9B6D77" w:rsidRDefault="009B6D77">
            <w:pPr>
              <w:ind w:left="60"/>
              <w:rPr>
                <w:rFonts w:ascii="Calibri" w:eastAsia="Calibri" w:hAnsi="Calibri" w:cs="Calibri"/>
                <w:sz w:val="18"/>
                <w:szCs w:val="18"/>
              </w:rPr>
            </w:pPr>
          </w:p>
          <w:p w:rsidR="009B6D77" w:rsidRDefault="009B6D77">
            <w:pPr>
              <w:rPr>
                <w:rFonts w:ascii="Source Sans Pro" w:eastAsia="Source Sans Pro" w:hAnsi="Source Sans Pro" w:cs="Source Sans Pro"/>
                <w:i/>
                <w:sz w:val="22"/>
                <w:szCs w:val="22"/>
              </w:rPr>
            </w:pPr>
          </w:p>
        </w:tc>
      </w:tr>
    </w:tbl>
    <w:p w:rsidR="009B6D77" w:rsidRDefault="009B6D77">
      <w:pPr>
        <w:rPr>
          <w:rFonts w:ascii="Source Sans Pro" w:eastAsia="Source Sans Pro" w:hAnsi="Source Sans Pro" w:cs="Source Sans Pro"/>
          <w:b/>
          <w:sz w:val="22"/>
          <w:szCs w:val="22"/>
        </w:rPr>
      </w:pPr>
    </w:p>
    <w:p w:rsidR="009B6D77" w:rsidRDefault="009B6D77">
      <w:pPr>
        <w:rPr>
          <w:rFonts w:ascii="Source Sans Pro" w:eastAsia="Source Sans Pro" w:hAnsi="Source Sans Pro" w:cs="Source Sans Pro"/>
          <w:b/>
          <w:sz w:val="22"/>
          <w:szCs w:val="22"/>
        </w:rPr>
      </w:pPr>
    </w:p>
    <w:p w:rsidR="009B6D77" w:rsidRDefault="009B6D77">
      <w:pPr>
        <w:rPr>
          <w:rFonts w:ascii="Source Sans Pro" w:eastAsia="Source Sans Pro" w:hAnsi="Source Sans Pro" w:cs="Source Sans Pro"/>
          <w:b/>
          <w:sz w:val="22"/>
          <w:szCs w:val="22"/>
        </w:rPr>
      </w:pPr>
    </w:p>
    <w:p w:rsidR="009B6D77" w:rsidRDefault="00202C68">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REQUIRED questions:</w:t>
      </w:r>
    </w:p>
    <w:p w:rsidR="009B6D77" w:rsidRDefault="009B6D77">
      <w:pPr>
        <w:shd w:val="clear" w:color="auto" w:fill="FFFFFF"/>
        <w:jc w:val="both"/>
        <w:rPr>
          <w:rFonts w:ascii="Source Sans Pro" w:eastAsia="Source Sans Pro" w:hAnsi="Source Sans Pro" w:cs="Source Sans Pro"/>
          <w:sz w:val="12"/>
          <w:szCs w:val="12"/>
        </w:rPr>
      </w:pPr>
    </w:p>
    <w:p w:rsidR="009B6D77" w:rsidRDefault="009B6D77">
      <w:pPr>
        <w:shd w:val="clear" w:color="auto" w:fill="FFFFFF"/>
        <w:rPr>
          <w:rFonts w:ascii="Source Sans Pro" w:eastAsia="Source Sans Pro" w:hAnsi="Source Sans Pro" w:cs="Source Sans Pro"/>
          <w:sz w:val="22"/>
          <w:szCs w:val="22"/>
        </w:rPr>
      </w:pPr>
    </w:p>
    <w:tbl>
      <w:tblPr>
        <w:tblStyle w:val="a4"/>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9B6D77">
        <w:trPr>
          <w:trHeight w:val="485"/>
        </w:trPr>
        <w:tc>
          <w:tcPr>
            <w:tcW w:w="12870" w:type="dxa"/>
            <w:gridSpan w:val="2"/>
            <w:shd w:val="clear" w:color="auto" w:fill="B8CCE4"/>
            <w:vAlign w:val="center"/>
          </w:tcPr>
          <w:p w:rsidR="009B6D77" w:rsidRDefault="00202C68">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Student Engagement and Support</w:t>
            </w:r>
          </w:p>
        </w:tc>
      </w:tr>
      <w:tr w:rsidR="009B6D77">
        <w:trPr>
          <w:trHeight w:val="1079"/>
        </w:trPr>
        <w:tc>
          <w:tcPr>
            <w:tcW w:w="3240" w:type="dxa"/>
          </w:tcPr>
          <w:p w:rsidR="009B6D77" w:rsidRDefault="00202C68">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STUDENT ENGAGEMENT </w:t>
            </w:r>
          </w:p>
        </w:tc>
        <w:tc>
          <w:tcPr>
            <w:tcW w:w="9630" w:type="dxa"/>
            <w:vAlign w:val="center"/>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Guided Pathways legislation specifically asks for a report on progress in engaging students in the planning and implementation of the reforms. Your answers below will provide the Chancellor’s Office a system-wide qualitative measure of this effort.</w:t>
            </w:r>
          </w:p>
        </w:tc>
      </w:tr>
      <w:tr w:rsidR="009B6D77">
        <w:trPr>
          <w:trHeight w:val="1871"/>
        </w:trPr>
        <w:tc>
          <w:tcPr>
            <w:tcW w:w="3240" w:type="dxa"/>
            <w:vMerge w:val="restart"/>
          </w:tcPr>
          <w:p w:rsidR="009B6D77" w:rsidRDefault="00202C68">
            <w:pPr>
              <w:pBdr>
                <w:top w:val="nil"/>
                <w:left w:val="nil"/>
                <w:bottom w:val="nil"/>
                <w:right w:val="nil"/>
                <w:between w:val="nil"/>
              </w:pBdr>
              <w:spacing w:before="12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In what ways are you continually engaging students in the planning and implementation of Guided Pathways on your campus? (Minimum of one required)</w:t>
            </w:r>
          </w:p>
        </w:tc>
        <w:tc>
          <w:tcPr>
            <w:tcW w:w="9630" w:type="dxa"/>
            <w:vAlign w:val="center"/>
          </w:tcPr>
          <w:p w:rsidR="009B6D77" w:rsidRDefault="00202C68">
            <w:pPr>
              <w:spacing w:before="60" w:after="60"/>
              <w:ind w:left="60"/>
              <w:rPr>
                <w:rFonts w:ascii="MS Gothic" w:eastAsia="MS Gothic" w:hAnsi="MS Gothic" w:cs="MS Gothic"/>
                <w:sz w:val="22"/>
                <w:szCs w:val="22"/>
              </w:rPr>
            </w:pPr>
            <w:r>
              <w:rPr>
                <w:rFonts w:ascii="Source Sans Pro" w:eastAsia="Source Sans Pro" w:hAnsi="Source Sans Pro" w:cs="Source Sans Pro"/>
                <w:i/>
              </w:rPr>
              <w:t>Place an X next to one or more:</w:t>
            </w:r>
          </w:p>
          <w:p w:rsidR="009B6D77" w:rsidRDefault="00202C68">
            <w:pPr>
              <w:spacing w:before="60" w:after="60"/>
              <w:ind w:left="60"/>
              <w:rPr>
                <w:rFonts w:ascii="Source Sans Pro" w:eastAsia="Source Sans Pro" w:hAnsi="Source Sans Pro" w:cs="Source Sans Pro"/>
                <w:sz w:val="22"/>
                <w:szCs w:val="22"/>
                <w:highlight w:val="yellow"/>
              </w:rPr>
            </w:pPr>
            <w:r>
              <w:rPr>
                <w:rFonts w:ascii="Source Sans Pro" w:eastAsia="Source Sans Pro" w:hAnsi="Source Sans Pro" w:cs="Source Sans Pro"/>
                <w:sz w:val="22"/>
                <w:szCs w:val="22"/>
                <w:highlight w:val="yellow"/>
              </w:rPr>
              <w:t>Student survey(s)</w:t>
            </w:r>
          </w:p>
          <w:p w:rsidR="009B6D77" w:rsidRDefault="00202C68">
            <w:pPr>
              <w:spacing w:before="60" w:after="60"/>
              <w:ind w:left="60"/>
              <w:rPr>
                <w:rFonts w:ascii="Source Sans Pro" w:eastAsia="Source Sans Pro" w:hAnsi="Source Sans Pro" w:cs="Source Sans Pro"/>
                <w:sz w:val="22"/>
                <w:szCs w:val="22"/>
                <w:highlight w:val="yellow"/>
              </w:rPr>
            </w:pPr>
            <w:r>
              <w:rPr>
                <w:rFonts w:ascii="MS Gothic" w:eastAsia="MS Gothic" w:hAnsi="MS Gothic" w:cs="MS Gothic"/>
                <w:sz w:val="22"/>
                <w:szCs w:val="22"/>
                <w:highlight w:val="yellow"/>
              </w:rPr>
              <w:t xml:space="preserve">   </w:t>
            </w:r>
            <w:r>
              <w:rPr>
                <w:rFonts w:ascii="Source Sans Pro" w:eastAsia="Source Sans Pro" w:hAnsi="Source Sans Pro" w:cs="Source Sans Pro"/>
                <w:sz w:val="22"/>
                <w:szCs w:val="22"/>
                <w:highlight w:val="yellow"/>
              </w:rPr>
              <w:t>Students serve on campus GP advisory committee(s)</w:t>
            </w:r>
          </w:p>
          <w:p w:rsidR="009B6D77" w:rsidRDefault="00202C68">
            <w:pPr>
              <w:spacing w:before="60" w:after="60"/>
              <w:ind w:left="60"/>
              <w:rPr>
                <w:rFonts w:ascii="Source Sans Pro" w:eastAsia="Source Sans Pro" w:hAnsi="Source Sans Pro" w:cs="Source Sans Pro"/>
                <w:sz w:val="22"/>
                <w:szCs w:val="22"/>
              </w:rPr>
            </w:pPr>
            <w:r>
              <w:rPr>
                <w:rFonts w:ascii="MS Gothic" w:eastAsia="MS Gothic" w:hAnsi="MS Gothic" w:cs="MS Gothic"/>
                <w:sz w:val="22"/>
                <w:szCs w:val="22"/>
                <w:highlight w:val="yellow"/>
              </w:rPr>
              <w:t xml:space="preserve">   </w:t>
            </w:r>
            <w:r>
              <w:rPr>
                <w:rFonts w:ascii="Source Sans Pro" w:eastAsia="Source Sans Pro" w:hAnsi="Source Sans Pro" w:cs="Source Sans Pro"/>
                <w:sz w:val="22"/>
                <w:szCs w:val="22"/>
                <w:highlight w:val="yellow"/>
              </w:rPr>
              <w:t>Student focus groups</w:t>
            </w:r>
          </w:p>
          <w:p w:rsidR="009B6D77" w:rsidRDefault="00202C68">
            <w:pPr>
              <w:spacing w:after="80"/>
              <w:rPr>
                <w:rFonts w:ascii="Calibri" w:eastAsia="Calibri" w:hAnsi="Calibri" w:cs="Calibri"/>
                <w:sz w:val="18"/>
                <w:szCs w:val="18"/>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 xml:space="preserve">Other:    </w:t>
            </w:r>
          </w:p>
        </w:tc>
      </w:tr>
      <w:tr w:rsidR="009B6D77">
        <w:trPr>
          <w:trHeight w:val="272"/>
        </w:trPr>
        <w:tc>
          <w:tcPr>
            <w:tcW w:w="3240" w:type="dxa"/>
            <w:vMerge/>
          </w:tcPr>
          <w:p w:rsidR="009B6D77" w:rsidRDefault="009B6D77">
            <w:pPr>
              <w:widowControl w:val="0"/>
              <w:pBdr>
                <w:top w:val="nil"/>
                <w:left w:val="nil"/>
                <w:bottom w:val="nil"/>
                <w:right w:val="nil"/>
                <w:between w:val="nil"/>
              </w:pBdr>
              <w:spacing w:line="276" w:lineRule="auto"/>
              <w:rPr>
                <w:rFonts w:ascii="Calibri" w:eastAsia="Calibri" w:hAnsi="Calibri" w:cs="Calibri"/>
                <w:sz w:val="18"/>
                <w:szCs w:val="18"/>
              </w:rPr>
            </w:pPr>
          </w:p>
        </w:tc>
        <w:tc>
          <w:tcPr>
            <w:tcW w:w="9630" w:type="dxa"/>
          </w:tcPr>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Engagement Efforts  - Details: </w:t>
            </w:r>
            <w:r>
              <w:rPr>
                <w:rFonts w:ascii="Source Sans Pro" w:eastAsia="Source Sans Pro" w:hAnsi="Source Sans Pro" w:cs="Source Sans Pro"/>
                <w:i/>
                <w:sz w:val="20"/>
                <w:szCs w:val="20"/>
              </w:rPr>
              <w:t>(1,000 character)</w:t>
            </w:r>
          </w:p>
          <w:p w:rsidR="009B6D77" w:rsidRDefault="009B6D77">
            <w:pPr>
              <w:spacing w:before="60" w:after="60"/>
              <w:rPr>
                <w:rFonts w:ascii="Calibri" w:eastAsia="Calibri" w:hAnsi="Calibri" w:cs="Calibri"/>
                <w:sz w:val="18"/>
                <w:szCs w:val="18"/>
              </w:rPr>
            </w:pPr>
          </w:p>
          <w:p w:rsidR="009B6D77" w:rsidRDefault="00202C68">
            <w:pPr>
              <w:spacing w:before="60" w:after="60"/>
              <w:rPr>
                <w:rFonts w:ascii="Calibri" w:eastAsia="Calibri" w:hAnsi="Calibri" w:cs="Calibri"/>
              </w:rPr>
            </w:pPr>
            <w:r>
              <w:rPr>
                <w:rFonts w:ascii="Calibri" w:eastAsia="Calibri" w:hAnsi="Calibri" w:cs="Calibri"/>
              </w:rPr>
              <w:t xml:space="preserve">The College engages students in a number of ways in the redesign process.  Students are surveyed by a number of areas regarding services including the new HomeBase (pathway communities) model that is being launched in Fall 2020.  </w:t>
            </w:r>
          </w:p>
          <w:p w:rsidR="009B6D77" w:rsidRDefault="009B6D77">
            <w:pPr>
              <w:spacing w:before="60" w:after="60"/>
              <w:rPr>
                <w:rFonts w:ascii="Calibri" w:eastAsia="Calibri" w:hAnsi="Calibri" w:cs="Calibri"/>
              </w:rPr>
            </w:pPr>
          </w:p>
          <w:p w:rsidR="009B6D77" w:rsidRDefault="00202C68">
            <w:pPr>
              <w:spacing w:before="60" w:after="60"/>
              <w:rPr>
                <w:rFonts w:ascii="Calibri" w:eastAsia="Calibri" w:hAnsi="Calibri" w:cs="Calibri"/>
              </w:rPr>
            </w:pPr>
            <w:r>
              <w:rPr>
                <w:rFonts w:ascii="Calibri" w:eastAsia="Calibri" w:hAnsi="Calibri" w:cs="Calibri"/>
              </w:rPr>
              <w:t xml:space="preserve">Through our new governance process, student representatives are on each of the three major councils (Student Success, Institutional Effectiveness, and Operations) as well as the Executive Leadership Team (ELT).  Students are given a stipend for participating on the councils and teams.  </w:t>
            </w:r>
          </w:p>
          <w:p w:rsidR="009B6D77" w:rsidRDefault="009B6D77">
            <w:pPr>
              <w:spacing w:before="60" w:after="60"/>
              <w:rPr>
                <w:rFonts w:ascii="Calibri" w:eastAsia="Calibri" w:hAnsi="Calibri" w:cs="Calibri"/>
              </w:rPr>
            </w:pPr>
          </w:p>
          <w:p w:rsidR="009B6D77" w:rsidRDefault="00202C68">
            <w:pPr>
              <w:spacing w:before="60" w:after="60"/>
              <w:rPr>
                <w:rFonts w:ascii="Calibri" w:eastAsia="Calibri" w:hAnsi="Calibri" w:cs="Calibri"/>
              </w:rPr>
            </w:pPr>
            <w:r>
              <w:rPr>
                <w:rFonts w:ascii="Calibri" w:eastAsia="Calibri" w:hAnsi="Calibri" w:cs="Calibri"/>
              </w:rPr>
              <w:t xml:space="preserve">Student focus groups occur periodically when feedback is needed regarding a particular item.  We most recently used student focus groups to gain feedback regarding success team models.   </w:t>
            </w:r>
          </w:p>
          <w:p w:rsidR="009B6D77" w:rsidRDefault="009B6D77">
            <w:pPr>
              <w:spacing w:before="60" w:after="60"/>
              <w:ind w:left="60"/>
              <w:rPr>
                <w:rFonts w:ascii="Source Sans Pro" w:eastAsia="Source Sans Pro" w:hAnsi="Source Sans Pro" w:cs="Source Sans Pro"/>
                <w:sz w:val="22"/>
                <w:szCs w:val="22"/>
              </w:rPr>
            </w:pPr>
          </w:p>
        </w:tc>
      </w:tr>
      <w:tr w:rsidR="009B6D77">
        <w:trPr>
          <w:trHeight w:val="170"/>
        </w:trPr>
        <w:tc>
          <w:tcPr>
            <w:tcW w:w="12870" w:type="dxa"/>
            <w:gridSpan w:val="2"/>
          </w:tcPr>
          <w:p w:rsidR="009B6D77" w:rsidRDefault="009B6D77">
            <w:pPr>
              <w:pBdr>
                <w:top w:val="nil"/>
                <w:left w:val="nil"/>
                <w:bottom w:val="nil"/>
                <w:right w:val="nil"/>
                <w:between w:val="nil"/>
              </w:pBdr>
              <w:rPr>
                <w:rFonts w:ascii="Source Sans Pro" w:eastAsia="Source Sans Pro" w:hAnsi="Source Sans Pro" w:cs="Source Sans Pro"/>
                <w:color w:val="000000"/>
                <w:sz w:val="12"/>
                <w:szCs w:val="12"/>
              </w:rPr>
            </w:pPr>
          </w:p>
        </w:tc>
      </w:tr>
      <w:tr w:rsidR="009B6D77">
        <w:trPr>
          <w:trHeight w:val="1025"/>
        </w:trPr>
        <w:tc>
          <w:tcPr>
            <w:tcW w:w="3240" w:type="dxa"/>
            <w:vMerge w:val="restart"/>
          </w:tcPr>
          <w:p w:rsidR="009B6D77" w:rsidRDefault="00202C68">
            <w:pPr>
              <w:pBdr>
                <w:top w:val="nil"/>
                <w:left w:val="nil"/>
                <w:bottom w:val="nil"/>
                <w:right w:val="nil"/>
                <w:between w:val="nil"/>
              </w:pBdr>
              <w:spacing w:before="120"/>
              <w:rPr>
                <w:rFonts w:ascii="Source Sans Pro" w:eastAsia="Source Sans Pro" w:hAnsi="Source Sans Pro" w:cs="Source Sans Pro"/>
                <w:i/>
                <w:color w:val="000000"/>
                <w:sz w:val="22"/>
                <w:szCs w:val="22"/>
              </w:rPr>
            </w:pPr>
            <w:r>
              <w:rPr>
                <w:rFonts w:ascii="Source Sans Pro" w:eastAsia="Source Sans Pro" w:hAnsi="Source Sans Pro" w:cs="Source Sans Pro"/>
                <w:b/>
                <w:color w:val="000000"/>
                <w:sz w:val="22"/>
                <w:szCs w:val="22"/>
              </w:rPr>
              <w:t xml:space="preserve">COURSE ALIGNMENT </w:t>
            </w:r>
          </w:p>
        </w:tc>
        <w:tc>
          <w:tcPr>
            <w:tcW w:w="9630" w:type="dxa"/>
            <w:vAlign w:val="center"/>
          </w:tcPr>
          <w:p w:rsidR="009B6D77" w:rsidRDefault="00202C68">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i/>
                <w:color w:val="000000"/>
                <w:sz w:val="22"/>
                <w:szCs w:val="22"/>
              </w:rPr>
              <w:t>How is the college exploring alignment of course offerings with student education plans? (To help answer this question, consider the college's answers to the following self-assessment questions 1.D., 2.A., 3.B., and 3.E.)</w:t>
            </w:r>
          </w:p>
        </w:tc>
      </w:tr>
      <w:tr w:rsidR="009B6D77">
        <w:trPr>
          <w:trHeight w:val="272"/>
        </w:trPr>
        <w:tc>
          <w:tcPr>
            <w:tcW w:w="3240" w:type="dxa"/>
            <w:vMerge/>
          </w:tcPr>
          <w:p w:rsidR="009B6D77" w:rsidRDefault="009B6D77">
            <w:pPr>
              <w:widowControl w:val="0"/>
              <w:pBdr>
                <w:top w:val="nil"/>
                <w:left w:val="nil"/>
                <w:bottom w:val="nil"/>
                <w:right w:val="nil"/>
                <w:between w:val="nil"/>
              </w:pBdr>
              <w:spacing w:line="276" w:lineRule="auto"/>
              <w:rPr>
                <w:rFonts w:ascii="Source Sans Pro" w:eastAsia="Source Sans Pro" w:hAnsi="Source Sans Pro" w:cs="Source Sans Pro"/>
                <w:color w:val="000000"/>
                <w:sz w:val="22"/>
                <w:szCs w:val="22"/>
              </w:rPr>
            </w:pPr>
          </w:p>
        </w:tc>
        <w:tc>
          <w:tcPr>
            <w:tcW w:w="9630" w:type="dxa"/>
          </w:tcPr>
          <w:p w:rsidR="009B6D77" w:rsidRDefault="00202C68">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Course Alignment  - Details: </w:t>
            </w:r>
            <w:r>
              <w:rPr>
                <w:rFonts w:ascii="Source Sans Pro" w:eastAsia="Source Sans Pro" w:hAnsi="Source Sans Pro" w:cs="Source Sans Pro"/>
                <w:i/>
                <w:sz w:val="20"/>
                <w:szCs w:val="20"/>
              </w:rPr>
              <w:t>(1,000 character)</w:t>
            </w:r>
          </w:p>
          <w:p w:rsidR="009B6D77" w:rsidRDefault="009B6D77">
            <w:pPr>
              <w:spacing w:before="60" w:after="60"/>
              <w:rPr>
                <w:rFonts w:ascii="Calibri" w:eastAsia="Calibri" w:hAnsi="Calibri" w:cs="Calibri"/>
                <w:sz w:val="18"/>
                <w:szCs w:val="18"/>
              </w:rPr>
            </w:pPr>
          </w:p>
          <w:p w:rsidR="009B6D77" w:rsidRDefault="00202C68">
            <w:pPr>
              <w:spacing w:before="60" w:after="60"/>
              <w:rPr>
                <w:rFonts w:ascii="Calibri" w:eastAsia="Calibri" w:hAnsi="Calibri" w:cs="Calibri"/>
              </w:rPr>
            </w:pPr>
            <w:bookmarkStart w:id="1" w:name="_heading=h.gjdgxs" w:colFirst="0" w:colLast="0"/>
            <w:bookmarkEnd w:id="1"/>
            <w:r>
              <w:rPr>
                <w:rFonts w:ascii="Calibri" w:eastAsia="Calibri" w:hAnsi="Calibri" w:cs="Calibri"/>
              </w:rPr>
              <w:t xml:space="preserve">The College is implementing a new software product called Degree Planner and Course Builder.  Course Planner was launched in the Fall semester for spring scheduling.  Degree Planner will be launched later in the Spring semester which will allow students to see their program map and build out a schedule for future semesters.  The system will allow students to choose how many units they wish to take per semester and will show them how long it will take to complete their degree.  </w:t>
            </w:r>
          </w:p>
          <w:p w:rsidR="009B6D77" w:rsidRDefault="009B6D77">
            <w:pPr>
              <w:pBdr>
                <w:top w:val="nil"/>
                <w:left w:val="nil"/>
                <w:bottom w:val="nil"/>
                <w:right w:val="nil"/>
                <w:between w:val="nil"/>
              </w:pBdr>
              <w:rPr>
                <w:rFonts w:ascii="Source Sans Pro" w:eastAsia="Source Sans Pro" w:hAnsi="Source Sans Pro" w:cs="Source Sans Pro"/>
                <w:color w:val="000000"/>
                <w:sz w:val="22"/>
                <w:szCs w:val="22"/>
              </w:rPr>
            </w:pPr>
          </w:p>
        </w:tc>
      </w:tr>
    </w:tbl>
    <w:p w:rsidR="009B6D77" w:rsidRDefault="009B6D77">
      <w:pPr>
        <w:rPr>
          <w:rFonts w:ascii="Source Sans Pro" w:eastAsia="Source Sans Pro" w:hAnsi="Source Sans Pro" w:cs="Source Sans Pro"/>
          <w:b/>
          <w:sz w:val="22"/>
          <w:szCs w:val="22"/>
        </w:rPr>
      </w:pPr>
    </w:p>
    <w:p w:rsidR="009B6D77" w:rsidRDefault="009B6D77">
      <w:pPr>
        <w:rPr>
          <w:rFonts w:ascii="Source Sans Pro" w:eastAsia="Source Sans Pro" w:hAnsi="Source Sans Pro" w:cs="Source Sans Pro"/>
          <w:b/>
          <w:sz w:val="12"/>
          <w:szCs w:val="12"/>
        </w:rPr>
      </w:pPr>
    </w:p>
    <w:p w:rsidR="009B6D77" w:rsidRDefault="00202C68">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OPTIONAL questions:</w:t>
      </w:r>
    </w:p>
    <w:p w:rsidR="009B6D77" w:rsidRDefault="009B6D77">
      <w:pPr>
        <w:shd w:val="clear" w:color="auto" w:fill="FFFFFF"/>
        <w:jc w:val="both"/>
        <w:rPr>
          <w:rFonts w:ascii="Source Sans Pro" w:eastAsia="Source Sans Pro" w:hAnsi="Source Sans Pro" w:cs="Source Sans Pro"/>
          <w:sz w:val="12"/>
          <w:szCs w:val="12"/>
        </w:rPr>
      </w:pPr>
    </w:p>
    <w:p w:rsidR="009B6D77" w:rsidRDefault="009B6D77">
      <w:pPr>
        <w:shd w:val="clear" w:color="auto" w:fill="FFFFFF"/>
        <w:rPr>
          <w:rFonts w:ascii="Source Sans Pro" w:eastAsia="Source Sans Pro" w:hAnsi="Source Sans Pro" w:cs="Source Sans Pro"/>
          <w:sz w:val="22"/>
          <w:szCs w:val="22"/>
        </w:rPr>
      </w:pPr>
    </w:p>
    <w:tbl>
      <w:tblPr>
        <w:tblStyle w:val="a5"/>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9B6D77">
        <w:trPr>
          <w:trHeight w:val="485"/>
        </w:trPr>
        <w:tc>
          <w:tcPr>
            <w:tcW w:w="12870" w:type="dxa"/>
            <w:gridSpan w:val="2"/>
            <w:shd w:val="clear" w:color="auto" w:fill="B8CCE4"/>
            <w:vAlign w:val="center"/>
          </w:tcPr>
          <w:p w:rsidR="009B6D77" w:rsidRDefault="00202C68">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Success Story</w:t>
            </w:r>
          </w:p>
        </w:tc>
      </w:tr>
      <w:tr w:rsidR="009B6D77">
        <w:trPr>
          <w:trHeight w:val="1277"/>
        </w:trPr>
        <w:tc>
          <w:tcPr>
            <w:tcW w:w="3240" w:type="dxa"/>
          </w:tcPr>
          <w:p w:rsidR="009B6D77" w:rsidRDefault="00202C68">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SUCCESS STORY </w:t>
            </w:r>
          </w:p>
        </w:tc>
        <w:tc>
          <w:tcPr>
            <w:tcW w:w="9630" w:type="dxa"/>
            <w:vAlign w:val="center"/>
          </w:tcPr>
          <w:p w:rsidR="009B6D77" w:rsidRDefault="00202C68">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b/>
                <w:i/>
                <w:color w:val="000000"/>
                <w:sz w:val="22"/>
                <w:szCs w:val="22"/>
              </w:rPr>
              <w:t>Optional:</w:t>
            </w:r>
            <w:r>
              <w:rPr>
                <w:rFonts w:ascii="Source Sans Pro" w:eastAsia="Source Sans Pro" w:hAnsi="Source Sans Pro" w:cs="Source Sans Pro"/>
                <w:i/>
                <w:color w:val="000000"/>
                <w:sz w:val="22"/>
                <w:szCs w:val="22"/>
              </w:rPr>
              <w:t xml:space="preserve"> Please share a success story for collaborative purposes and to help establish best practices. Other NOVA users will be able to see this information as part of your submitted self-assessment, however the Chancellor’s Office will not share the information with outside parties without first obtaining your college’s consent.   Note: All fields are required should you choose to include a success story.</w:t>
            </w:r>
          </w:p>
        </w:tc>
      </w:tr>
      <w:tr w:rsidR="009B6D77">
        <w:trPr>
          <w:trHeight w:val="431"/>
        </w:trPr>
        <w:tc>
          <w:tcPr>
            <w:tcW w:w="12870" w:type="dxa"/>
            <w:gridSpan w:val="2"/>
          </w:tcPr>
          <w:p w:rsidR="009B6D77" w:rsidRDefault="00202C68">
            <w:pPr>
              <w:spacing w:before="60"/>
              <w:ind w:left="403"/>
              <w:rPr>
                <w:rFonts w:ascii="Calibri" w:eastAsia="Calibri" w:hAnsi="Calibri" w:cs="Calibri"/>
                <w:sz w:val="18"/>
                <w:szCs w:val="18"/>
              </w:rPr>
            </w:pPr>
            <w:r>
              <w:rPr>
                <w:rFonts w:ascii="Source Sans Pro" w:eastAsia="Source Sans Pro" w:hAnsi="Source Sans Pro" w:cs="Source Sans Pro"/>
                <w:i/>
                <w:sz w:val="22"/>
                <w:szCs w:val="22"/>
              </w:rPr>
              <w:t>Title:</w:t>
            </w:r>
            <w:r>
              <w:rPr>
                <w:rFonts w:ascii="Source Sans Pro" w:eastAsia="Source Sans Pro" w:hAnsi="Source Sans Pro" w:cs="Source Sans Pro"/>
                <w:sz w:val="22"/>
                <w:szCs w:val="22"/>
              </w:rPr>
              <w:t xml:space="preserve">   </w:t>
            </w:r>
          </w:p>
        </w:tc>
      </w:tr>
      <w:tr w:rsidR="009B6D77">
        <w:trPr>
          <w:trHeight w:val="449"/>
        </w:trPr>
        <w:tc>
          <w:tcPr>
            <w:tcW w:w="12870" w:type="dxa"/>
            <w:gridSpan w:val="2"/>
          </w:tcPr>
          <w:p w:rsidR="009B6D77" w:rsidRDefault="00202C68">
            <w:pPr>
              <w:spacing w:before="60"/>
              <w:ind w:left="403"/>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Follow-up Contact Person(s):   </w:t>
            </w:r>
          </w:p>
        </w:tc>
      </w:tr>
      <w:tr w:rsidR="009B6D77">
        <w:trPr>
          <w:trHeight w:val="272"/>
        </w:trPr>
        <w:tc>
          <w:tcPr>
            <w:tcW w:w="12870" w:type="dxa"/>
            <w:gridSpan w:val="2"/>
          </w:tcPr>
          <w:p w:rsidR="009B6D77" w:rsidRDefault="00202C68">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Challenge: </w:t>
            </w:r>
            <w:r>
              <w:rPr>
                <w:rFonts w:ascii="Source Sans Pro" w:eastAsia="Source Sans Pro" w:hAnsi="Source Sans Pro" w:cs="Source Sans Pro"/>
                <w:i/>
                <w:sz w:val="20"/>
                <w:szCs w:val="20"/>
              </w:rPr>
              <w:t>(1,000 character)</w:t>
            </w:r>
          </w:p>
          <w:p w:rsidR="009B6D77" w:rsidRDefault="009B6D77">
            <w:pPr>
              <w:spacing w:before="60" w:after="60"/>
              <w:rPr>
                <w:rFonts w:ascii="Calibri" w:eastAsia="Calibri" w:hAnsi="Calibri" w:cs="Calibri"/>
                <w:sz w:val="18"/>
                <w:szCs w:val="18"/>
              </w:rPr>
            </w:pPr>
          </w:p>
          <w:p w:rsidR="009B6D77" w:rsidRDefault="009B6D77">
            <w:pPr>
              <w:ind w:firstLine="408"/>
              <w:rPr>
                <w:rFonts w:ascii="Source Sans Pro" w:eastAsia="Source Sans Pro" w:hAnsi="Source Sans Pro" w:cs="Source Sans Pro"/>
                <w:i/>
                <w:sz w:val="22"/>
                <w:szCs w:val="22"/>
              </w:rPr>
            </w:pPr>
          </w:p>
        </w:tc>
      </w:tr>
      <w:tr w:rsidR="009B6D77">
        <w:trPr>
          <w:trHeight w:val="1223"/>
        </w:trPr>
        <w:tc>
          <w:tcPr>
            <w:tcW w:w="12870" w:type="dxa"/>
            <w:gridSpan w:val="2"/>
          </w:tcPr>
          <w:p w:rsidR="009B6D77" w:rsidRDefault="00202C68">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Success Story: </w:t>
            </w:r>
            <w:r>
              <w:rPr>
                <w:rFonts w:ascii="Source Sans Pro" w:eastAsia="Source Sans Pro" w:hAnsi="Source Sans Pro" w:cs="Source Sans Pro"/>
                <w:i/>
                <w:sz w:val="20"/>
                <w:szCs w:val="20"/>
              </w:rPr>
              <w:t>(10,000 character)</w:t>
            </w:r>
          </w:p>
          <w:p w:rsidR="009B6D77" w:rsidRDefault="009B6D77">
            <w:pPr>
              <w:spacing w:before="60" w:after="60"/>
              <w:rPr>
                <w:rFonts w:ascii="Calibri" w:eastAsia="Calibri" w:hAnsi="Calibri" w:cs="Calibri"/>
                <w:sz w:val="18"/>
                <w:szCs w:val="18"/>
              </w:rPr>
            </w:pPr>
          </w:p>
          <w:p w:rsidR="009B6D77" w:rsidRDefault="009B6D77">
            <w:pPr>
              <w:ind w:firstLine="408"/>
              <w:rPr>
                <w:rFonts w:ascii="Source Sans Pro" w:eastAsia="Source Sans Pro" w:hAnsi="Source Sans Pro" w:cs="Source Sans Pro"/>
                <w:i/>
                <w:sz w:val="22"/>
                <w:szCs w:val="22"/>
              </w:rPr>
            </w:pPr>
          </w:p>
        </w:tc>
      </w:tr>
      <w:tr w:rsidR="009B6D77">
        <w:trPr>
          <w:trHeight w:val="272"/>
        </w:trPr>
        <w:tc>
          <w:tcPr>
            <w:tcW w:w="12870" w:type="dxa"/>
            <w:gridSpan w:val="2"/>
          </w:tcPr>
          <w:p w:rsidR="009B6D77" w:rsidRDefault="00202C68">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Outcomes: </w:t>
            </w:r>
            <w:r>
              <w:rPr>
                <w:rFonts w:ascii="Source Sans Pro" w:eastAsia="Source Sans Pro" w:hAnsi="Source Sans Pro" w:cs="Source Sans Pro"/>
                <w:i/>
                <w:sz w:val="20"/>
                <w:szCs w:val="20"/>
              </w:rPr>
              <w:t>(1,000 character)</w:t>
            </w:r>
          </w:p>
          <w:p w:rsidR="009B6D77" w:rsidRDefault="009B6D77">
            <w:pPr>
              <w:spacing w:before="60" w:after="60"/>
              <w:rPr>
                <w:rFonts w:ascii="Calibri" w:eastAsia="Calibri" w:hAnsi="Calibri" w:cs="Calibri"/>
                <w:sz w:val="18"/>
                <w:szCs w:val="18"/>
              </w:rPr>
            </w:pPr>
          </w:p>
          <w:p w:rsidR="009B6D77" w:rsidRDefault="009B6D77">
            <w:pPr>
              <w:ind w:firstLine="408"/>
              <w:rPr>
                <w:rFonts w:ascii="Source Sans Pro" w:eastAsia="Source Sans Pro" w:hAnsi="Source Sans Pro" w:cs="Source Sans Pro"/>
                <w:i/>
                <w:sz w:val="22"/>
                <w:szCs w:val="22"/>
              </w:rPr>
            </w:pPr>
          </w:p>
        </w:tc>
      </w:tr>
      <w:tr w:rsidR="009B6D77">
        <w:trPr>
          <w:trHeight w:val="272"/>
        </w:trPr>
        <w:tc>
          <w:tcPr>
            <w:tcW w:w="12870" w:type="dxa"/>
            <w:gridSpan w:val="2"/>
          </w:tcPr>
          <w:p w:rsidR="009B6D77" w:rsidRDefault="00202C68">
            <w:pPr>
              <w:pBdr>
                <w:top w:val="nil"/>
                <w:left w:val="nil"/>
                <w:bottom w:val="nil"/>
                <w:right w:val="nil"/>
                <w:between w:val="nil"/>
              </w:pBdr>
              <w:spacing w:before="60"/>
              <w:ind w:firstLine="408"/>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Vision for Success Goals  -  Please select the goals that apply to this success story. Place an X next to one or more:</w:t>
            </w:r>
          </w:p>
          <w:p w:rsidR="009B6D77" w:rsidRDefault="00202C68">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at least 20 percent the number of California Community College students annually who acquire associate degrees, credentials, certificates, or specific skill sets that prepare them for an in-demand job.</w:t>
            </w:r>
          </w:p>
          <w:p w:rsidR="009B6D77" w:rsidRDefault="00202C68">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35 percent the number of California Community College students transferring annually to a UC or CSU</w:t>
            </w:r>
          </w:p>
          <w:p w:rsidR="009B6D77" w:rsidRDefault="00202C68">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Decrease the average number of units accumulated by California Community College students earning associate degrees</w:t>
            </w:r>
          </w:p>
          <w:p w:rsidR="009B6D77" w:rsidRDefault="00202C68">
            <w:pPr>
              <w:ind w:left="588"/>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the percent of exiting CTE students who report being employed in their field of study</w:t>
            </w:r>
          </w:p>
          <w:p w:rsidR="009B6D77" w:rsidRDefault="00202C68">
            <w:pPr>
              <w:spacing w:before="60" w:after="60"/>
              <w:ind w:left="678" w:hanging="30"/>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equity gaps across all of the above measures through faster improvements among traditionally underrepresented student groups</w:t>
            </w:r>
          </w:p>
          <w:p w:rsidR="009B6D77" w:rsidRDefault="00202C68">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regional achievement gaps across all of the above measures through faster improvements among colleges located in regions with the lowest educational attainment of adults</w:t>
            </w:r>
          </w:p>
        </w:tc>
      </w:tr>
    </w:tbl>
    <w:p w:rsidR="009B6D77" w:rsidRDefault="009B6D77">
      <w:pPr>
        <w:rPr>
          <w:rFonts w:ascii="Source Sans Pro" w:eastAsia="Source Sans Pro" w:hAnsi="Source Sans Pro" w:cs="Source Sans Pro"/>
          <w:b/>
          <w:sz w:val="22"/>
          <w:szCs w:val="22"/>
        </w:rPr>
      </w:pPr>
    </w:p>
    <w:sectPr w:rsidR="009B6D77">
      <w:footerReference w:type="default" r:id="rId10"/>
      <w:headerReference w:type="first" r:id="rId11"/>
      <w:footerReference w:type="first" r:id="rId12"/>
      <w:pgSz w:w="15840" w:h="12240" w:orient="landscape"/>
      <w:pgMar w:top="720" w:right="720" w:bottom="720" w:left="72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55E" w:rsidRDefault="00C7755E">
      <w:r>
        <w:separator/>
      </w:r>
    </w:p>
  </w:endnote>
  <w:endnote w:type="continuationSeparator" w:id="0">
    <w:p w:rsidR="00C7755E" w:rsidRDefault="00C7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rimson">
    <w:altName w:val="Calibri"/>
    <w:charset w:val="00"/>
    <w:family w:val="auto"/>
    <w:pitch w:val="default"/>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D77" w:rsidRDefault="00202C68">
    <w:pPr>
      <w:pBdr>
        <w:top w:val="nil"/>
        <w:left w:val="nil"/>
        <w:bottom w:val="nil"/>
        <w:right w:val="nil"/>
        <w:between w:val="nil"/>
      </w:pBdr>
      <w:tabs>
        <w:tab w:val="center" w:pos="4320"/>
        <w:tab w:val="right" w:pos="8640"/>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6F52A2">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9B6D77" w:rsidRDefault="009B6D77">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D77" w:rsidRDefault="00202C6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6F52A2">
      <w:rPr>
        <w:noProof/>
        <w:color w:val="000000"/>
      </w:rPr>
      <w:t>1</w:t>
    </w:r>
    <w:r>
      <w:rPr>
        <w:color w:val="000000"/>
      </w:rPr>
      <w:fldChar w:fldCharType="end"/>
    </w:r>
  </w:p>
  <w:p w:rsidR="009B6D77" w:rsidRDefault="00202C68">
    <w:pPr>
      <w:pBdr>
        <w:top w:val="nil"/>
        <w:left w:val="nil"/>
        <w:bottom w:val="nil"/>
        <w:right w:val="nil"/>
        <w:between w:val="nil"/>
      </w:pBdr>
      <w:tabs>
        <w:tab w:val="center" w:pos="4320"/>
        <w:tab w:val="right" w:pos="8640"/>
      </w:tabs>
      <w:rPr>
        <w:color w:val="000000"/>
      </w:rPr>
    </w:pPr>
    <w:r>
      <w:t>Draft - 2/11/2022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55E" w:rsidRDefault="00C7755E">
      <w:r>
        <w:separator/>
      </w:r>
    </w:p>
  </w:footnote>
  <w:footnote w:type="continuationSeparator" w:id="0">
    <w:p w:rsidR="00C7755E" w:rsidRDefault="00C77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D77" w:rsidRDefault="00202C68">
    <w:pPr>
      <w:pBdr>
        <w:top w:val="nil"/>
        <w:left w:val="nil"/>
        <w:bottom w:val="nil"/>
        <w:right w:val="nil"/>
        <w:between w:val="nil"/>
      </w:pBdr>
      <w:tabs>
        <w:tab w:val="center" w:pos="4320"/>
        <w:tab w:val="right" w:pos="8640"/>
      </w:tabs>
      <w:jc w:val="center"/>
      <w:rPr>
        <w:color w:val="000000"/>
      </w:rPr>
    </w:pPr>
    <w:r>
      <w:rPr>
        <w:noProof/>
        <w:color w:val="000000"/>
      </w:rPr>
      <w:drawing>
        <wp:inline distT="0" distB="0" distL="0" distR="0">
          <wp:extent cx="3629025" cy="472440"/>
          <wp:effectExtent l="0" t="0" r="0" b="0"/>
          <wp:docPr id="4" name="image2.jpg" descr="California Community Colleges logo"/>
          <wp:cNvGraphicFramePr/>
          <a:graphic xmlns:a="http://schemas.openxmlformats.org/drawingml/2006/main">
            <a:graphicData uri="http://schemas.openxmlformats.org/drawingml/2006/picture">
              <pic:pic xmlns:pic="http://schemas.openxmlformats.org/drawingml/2006/picture">
                <pic:nvPicPr>
                  <pic:cNvPr id="0" name="image2.jpg" descr="California Community Colleges logo"/>
                  <pic:cNvPicPr preferRelativeResize="0"/>
                </pic:nvPicPr>
                <pic:blipFill>
                  <a:blip r:embed="rId1"/>
                  <a:srcRect/>
                  <a:stretch>
                    <a:fillRect/>
                  </a:stretch>
                </pic:blipFill>
                <pic:spPr>
                  <a:xfrm>
                    <a:off x="0" y="0"/>
                    <a:ext cx="3629025" cy="472440"/>
                  </a:xfrm>
                  <a:prstGeom prst="rect">
                    <a:avLst/>
                  </a:prstGeom>
                  <a:ln/>
                </pic:spPr>
              </pic:pic>
            </a:graphicData>
          </a:graphic>
        </wp:inline>
      </w:drawing>
    </w:r>
    <w:r>
      <w:rPr>
        <w:noProof/>
        <w:color w:val="000000"/>
      </w:rPr>
      <w:drawing>
        <wp:inline distT="0" distB="0" distL="0" distR="0">
          <wp:extent cx="2478405" cy="700405"/>
          <wp:effectExtent l="0" t="0" r="0" b="0"/>
          <wp:docPr id="5" name="image1.jpg" descr="CCRC Community College Research Center logo&#10;Teachers College, Columbia University"/>
          <wp:cNvGraphicFramePr/>
          <a:graphic xmlns:a="http://schemas.openxmlformats.org/drawingml/2006/main">
            <a:graphicData uri="http://schemas.openxmlformats.org/drawingml/2006/picture">
              <pic:pic xmlns:pic="http://schemas.openxmlformats.org/drawingml/2006/picture">
                <pic:nvPicPr>
                  <pic:cNvPr id="0" name="image1.jpg" descr="CCRC Community College Research Center logo&#10;Teachers College, Columbia University"/>
                  <pic:cNvPicPr preferRelativeResize="0"/>
                </pic:nvPicPr>
                <pic:blipFill>
                  <a:blip r:embed="rId2"/>
                  <a:srcRect b="16666"/>
                  <a:stretch>
                    <a:fillRect/>
                  </a:stretch>
                </pic:blipFill>
                <pic:spPr>
                  <a:xfrm>
                    <a:off x="0" y="0"/>
                    <a:ext cx="2478405" cy="700405"/>
                  </a:xfrm>
                  <a:prstGeom prst="rect">
                    <a:avLst/>
                  </a:prstGeom>
                  <a:ln/>
                </pic:spPr>
              </pic:pic>
            </a:graphicData>
          </a:graphic>
        </wp:inline>
      </w:drawing>
    </w:r>
  </w:p>
  <w:p w:rsidR="009B6D77" w:rsidRDefault="009B6D77">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415D3"/>
    <w:multiLevelType w:val="multilevel"/>
    <w:tmpl w:val="E0302D06"/>
    <w:lvl w:ilvl="0">
      <w:start w:val="1"/>
      <w:numFmt w:val="lowerLetter"/>
      <w:pStyle w:val="Tableindent"/>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DBB3C2A"/>
    <w:multiLevelType w:val="multilevel"/>
    <w:tmpl w:val="9B9EA324"/>
    <w:lvl w:ilvl="0">
      <w:start w:val="1"/>
      <w:numFmt w:val="bullet"/>
      <w:pStyle w:val="Tabl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05F118B"/>
    <w:multiLevelType w:val="multilevel"/>
    <w:tmpl w:val="50426360"/>
    <w:lvl w:ilvl="0">
      <w:start w:val="1"/>
      <w:numFmt w:val="decimal"/>
      <w:lvlText w:val="%1."/>
      <w:lvlJc w:val="left"/>
      <w:pPr>
        <w:ind w:left="-720" w:hanging="360"/>
      </w:pPr>
    </w:lvl>
    <w:lvl w:ilvl="1">
      <w:start w:val="1"/>
      <w:numFmt w:val="lowerLetter"/>
      <w:lvlText w:val="%2."/>
      <w:lvlJc w:val="left"/>
      <w:pPr>
        <w:ind w:left="0" w:hanging="360"/>
      </w:pPr>
    </w:lvl>
    <w:lvl w:ilvl="2">
      <w:start w:val="1"/>
      <w:numFmt w:val="lowerRoman"/>
      <w:lvlText w:val="%3."/>
      <w:lvlJc w:val="right"/>
      <w:pPr>
        <w:ind w:left="720" w:hanging="180"/>
      </w:pPr>
    </w:lvl>
    <w:lvl w:ilvl="3">
      <w:start w:val="1"/>
      <w:numFmt w:val="decimal"/>
      <w:lvlText w:val="%4."/>
      <w:lvlJc w:val="left"/>
      <w:pPr>
        <w:ind w:left="1440" w:hanging="360"/>
      </w:pPr>
    </w:lvl>
    <w:lvl w:ilvl="4">
      <w:start w:val="1"/>
      <w:numFmt w:val="lowerLetter"/>
      <w:lvlText w:val="%5."/>
      <w:lvlJc w:val="left"/>
      <w:pPr>
        <w:ind w:left="2160" w:hanging="360"/>
      </w:pPr>
    </w:lvl>
    <w:lvl w:ilvl="5">
      <w:start w:val="1"/>
      <w:numFmt w:val="lowerRoman"/>
      <w:lvlText w:val="%6."/>
      <w:lvlJc w:val="right"/>
      <w:pPr>
        <w:ind w:left="2880" w:hanging="180"/>
      </w:pPr>
    </w:lvl>
    <w:lvl w:ilvl="6">
      <w:start w:val="1"/>
      <w:numFmt w:val="decimal"/>
      <w:lvlText w:val="%7."/>
      <w:lvlJc w:val="left"/>
      <w:pPr>
        <w:ind w:left="3600" w:hanging="360"/>
      </w:pPr>
    </w:lvl>
    <w:lvl w:ilvl="7">
      <w:start w:val="1"/>
      <w:numFmt w:val="lowerLetter"/>
      <w:lvlText w:val="%8."/>
      <w:lvlJc w:val="left"/>
      <w:pPr>
        <w:ind w:left="4320" w:hanging="360"/>
      </w:pPr>
    </w:lvl>
    <w:lvl w:ilvl="8">
      <w:start w:val="1"/>
      <w:numFmt w:val="lowerRoman"/>
      <w:lvlText w:val="%9."/>
      <w:lvlJc w:val="right"/>
      <w:pPr>
        <w:ind w:left="5040" w:hanging="180"/>
      </w:pPr>
    </w:lvl>
  </w:abstractNum>
  <w:abstractNum w:abstractNumId="3" w15:restartNumberingAfterBreak="0">
    <w:nsid w:val="455D31F6"/>
    <w:multiLevelType w:val="multilevel"/>
    <w:tmpl w:val="C52809CA"/>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58D68B5"/>
    <w:multiLevelType w:val="multilevel"/>
    <w:tmpl w:val="6A105C48"/>
    <w:lvl w:ilvl="0">
      <w:start w:val="1"/>
      <w:numFmt w:val="decimal"/>
      <w:pStyle w:val="Tablebu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FE0592D"/>
    <w:multiLevelType w:val="multilevel"/>
    <w:tmpl w:val="A1B07C88"/>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AC66CAF"/>
    <w:multiLevelType w:val="multilevel"/>
    <w:tmpl w:val="7F14A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FA23B6"/>
    <w:multiLevelType w:val="multilevel"/>
    <w:tmpl w:val="7436D192"/>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 w:numId="3">
    <w:abstractNumId w:val="3"/>
  </w:num>
  <w:num w:numId="4">
    <w:abstractNumId w:val="6"/>
  </w:num>
  <w:num w:numId="5">
    <w:abstractNumId w:val="2"/>
  </w:num>
  <w:num w:numId="6">
    <w:abstractNumId w:val="5"/>
  </w:num>
  <w:num w:numId="7">
    <w:abstractNumId w:val="7"/>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D77"/>
    <w:rsid w:val="00202C68"/>
    <w:rsid w:val="006F52A2"/>
    <w:rsid w:val="009B6D77"/>
    <w:rsid w:val="00C7755E"/>
    <w:rsid w:val="00CD6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36A690-E705-4AA2-AE89-8408B3E3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260"/>
  </w:style>
  <w:style w:type="paragraph" w:styleId="Heading1">
    <w:name w:val="heading 1"/>
    <w:basedOn w:val="Normal"/>
    <w:next w:val="Normal"/>
    <w:link w:val="Heading1Char"/>
    <w:uiPriority w:val="9"/>
    <w:qFormat/>
    <w:rsid w:val="005741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91AFB"/>
    <w:pPr>
      <w:outlineLvl w:val="1"/>
    </w:pPr>
    <w:rPr>
      <w:b/>
    </w:rPr>
  </w:style>
  <w:style w:type="paragraph" w:styleId="Heading3">
    <w:name w:val="heading 3"/>
    <w:basedOn w:val="Normal"/>
    <w:next w:val="Normal"/>
    <w:link w:val="Heading3Char"/>
    <w:uiPriority w:val="9"/>
    <w:semiHidden/>
    <w:unhideWhenUsed/>
    <w:qFormat/>
    <w:rsid w:val="00132E5A"/>
    <w:pPr>
      <w:ind w:firstLine="720"/>
      <w:outlineLvl w:val="2"/>
    </w:pPr>
    <w:rPr>
      <w:rFonts w:eastAsiaTheme="majorEastAsia"/>
      <w:b/>
      <w:b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132E5A"/>
    <w:rPr>
      <w:rFonts w:eastAsiaTheme="majorEastAsia"/>
      <w:b/>
      <w:bCs/>
    </w:rPr>
  </w:style>
  <w:style w:type="character" w:customStyle="1" w:styleId="Heading2Char">
    <w:name w:val="Heading 2 Char"/>
    <w:basedOn w:val="DefaultParagraphFont"/>
    <w:link w:val="Heading2"/>
    <w:rsid w:val="00091AFB"/>
    <w:rPr>
      <w:rFonts w:ascii="Times New Roman" w:hAnsi="Times New Roman"/>
      <w:b/>
    </w:rPr>
  </w:style>
  <w:style w:type="table" w:styleId="TableGrid">
    <w:name w:val="Table Grid"/>
    <w:basedOn w:val="TableNormal"/>
    <w:uiPriority w:val="59"/>
    <w:rsid w:val="006B1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1068"/>
    <w:rPr>
      <w:rFonts w:eastAsiaTheme="minorHAnsi"/>
      <w:sz w:val="22"/>
      <w:szCs w:val="22"/>
    </w:rPr>
  </w:style>
  <w:style w:type="paragraph" w:styleId="ListParagraph">
    <w:name w:val="List Paragraph"/>
    <w:basedOn w:val="Normal"/>
    <w:uiPriority w:val="34"/>
    <w:qFormat/>
    <w:rsid w:val="006B1068"/>
    <w:pPr>
      <w:ind w:left="720"/>
      <w:contextualSpacing/>
    </w:pPr>
  </w:style>
  <w:style w:type="paragraph" w:customStyle="1" w:styleId="Table">
    <w:name w:val="Table #."/>
    <w:basedOn w:val="ListParagraph"/>
    <w:qFormat/>
    <w:rsid w:val="006B1068"/>
    <w:pPr>
      <w:numPr>
        <w:numId w:val="1"/>
      </w:numPr>
      <w:spacing w:after="120"/>
      <w:ind w:left="274" w:hanging="274"/>
    </w:pPr>
    <w:rPr>
      <w:rFonts w:ascii="Calibri" w:hAnsi="Calibri"/>
      <w:b/>
      <w:caps/>
    </w:rPr>
  </w:style>
  <w:style w:type="paragraph" w:customStyle="1" w:styleId="Tableindent">
    <w:name w:val="Table indent"/>
    <w:basedOn w:val="ListParagraph"/>
    <w:qFormat/>
    <w:rsid w:val="006B1068"/>
    <w:pPr>
      <w:numPr>
        <w:numId w:val="2"/>
      </w:numPr>
    </w:pPr>
    <w:rPr>
      <w:rFonts w:ascii="Calibri" w:hAnsi="Calibri"/>
    </w:rPr>
  </w:style>
  <w:style w:type="paragraph" w:styleId="Header">
    <w:name w:val="header"/>
    <w:basedOn w:val="Normal"/>
    <w:link w:val="HeaderChar"/>
    <w:uiPriority w:val="99"/>
    <w:unhideWhenUsed/>
    <w:rsid w:val="006B1068"/>
    <w:pPr>
      <w:tabs>
        <w:tab w:val="center" w:pos="4320"/>
        <w:tab w:val="right" w:pos="8640"/>
      </w:tabs>
    </w:pPr>
  </w:style>
  <w:style w:type="character" w:customStyle="1" w:styleId="HeaderChar">
    <w:name w:val="Header Char"/>
    <w:basedOn w:val="DefaultParagraphFont"/>
    <w:link w:val="Header"/>
    <w:uiPriority w:val="99"/>
    <w:rsid w:val="006B1068"/>
  </w:style>
  <w:style w:type="paragraph" w:styleId="Footer">
    <w:name w:val="footer"/>
    <w:basedOn w:val="Normal"/>
    <w:link w:val="FooterChar"/>
    <w:uiPriority w:val="99"/>
    <w:unhideWhenUsed/>
    <w:rsid w:val="006B1068"/>
    <w:pPr>
      <w:tabs>
        <w:tab w:val="center" w:pos="4320"/>
        <w:tab w:val="right" w:pos="8640"/>
      </w:tabs>
    </w:pPr>
  </w:style>
  <w:style w:type="character" w:customStyle="1" w:styleId="FooterChar">
    <w:name w:val="Footer Char"/>
    <w:basedOn w:val="DefaultParagraphFont"/>
    <w:link w:val="Footer"/>
    <w:uiPriority w:val="99"/>
    <w:rsid w:val="006B1068"/>
  </w:style>
  <w:style w:type="paragraph" w:styleId="BalloonText">
    <w:name w:val="Balloon Text"/>
    <w:basedOn w:val="Normal"/>
    <w:link w:val="BalloonTextChar"/>
    <w:uiPriority w:val="99"/>
    <w:semiHidden/>
    <w:unhideWhenUsed/>
    <w:rsid w:val="006B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1068"/>
    <w:rPr>
      <w:rFonts w:ascii="Lucida Grande" w:hAnsi="Lucida Grande" w:cs="Lucida Grande"/>
      <w:sz w:val="18"/>
      <w:szCs w:val="18"/>
    </w:rPr>
  </w:style>
  <w:style w:type="character" w:styleId="Hyperlink">
    <w:name w:val="Hyperlink"/>
    <w:basedOn w:val="DefaultParagraphFont"/>
    <w:uiPriority w:val="99"/>
    <w:unhideWhenUsed/>
    <w:rsid w:val="006B1068"/>
    <w:rPr>
      <w:color w:val="0000FF" w:themeColor="hyperlink"/>
      <w:u w:val="single"/>
    </w:rPr>
  </w:style>
  <w:style w:type="character" w:styleId="PageNumber">
    <w:name w:val="page number"/>
    <w:basedOn w:val="DefaultParagraphFont"/>
    <w:uiPriority w:val="99"/>
    <w:semiHidden/>
    <w:unhideWhenUsed/>
    <w:rsid w:val="006B1068"/>
  </w:style>
  <w:style w:type="character" w:styleId="CommentReference">
    <w:name w:val="annotation reference"/>
    <w:basedOn w:val="DefaultParagraphFont"/>
    <w:uiPriority w:val="99"/>
    <w:semiHidden/>
    <w:unhideWhenUsed/>
    <w:rsid w:val="001740ED"/>
    <w:rPr>
      <w:sz w:val="16"/>
      <w:szCs w:val="16"/>
    </w:rPr>
  </w:style>
  <w:style w:type="paragraph" w:styleId="CommentText">
    <w:name w:val="annotation text"/>
    <w:basedOn w:val="Normal"/>
    <w:link w:val="CommentTextChar"/>
    <w:uiPriority w:val="99"/>
    <w:semiHidden/>
    <w:unhideWhenUsed/>
    <w:rsid w:val="001740ED"/>
    <w:rPr>
      <w:sz w:val="20"/>
      <w:szCs w:val="20"/>
    </w:rPr>
  </w:style>
  <w:style w:type="character" w:customStyle="1" w:styleId="CommentTextChar">
    <w:name w:val="Comment Text Char"/>
    <w:basedOn w:val="DefaultParagraphFont"/>
    <w:link w:val="CommentText"/>
    <w:uiPriority w:val="99"/>
    <w:semiHidden/>
    <w:rsid w:val="001740ED"/>
    <w:rPr>
      <w:sz w:val="20"/>
      <w:szCs w:val="20"/>
    </w:rPr>
  </w:style>
  <w:style w:type="paragraph" w:styleId="CommentSubject">
    <w:name w:val="annotation subject"/>
    <w:basedOn w:val="CommentText"/>
    <w:next w:val="CommentText"/>
    <w:link w:val="CommentSubjectChar"/>
    <w:uiPriority w:val="99"/>
    <w:semiHidden/>
    <w:unhideWhenUsed/>
    <w:rsid w:val="001740ED"/>
    <w:rPr>
      <w:b/>
      <w:bCs/>
    </w:rPr>
  </w:style>
  <w:style w:type="character" w:customStyle="1" w:styleId="CommentSubjectChar">
    <w:name w:val="Comment Subject Char"/>
    <w:basedOn w:val="CommentTextChar"/>
    <w:link w:val="CommentSubject"/>
    <w:uiPriority w:val="99"/>
    <w:semiHidden/>
    <w:rsid w:val="001740ED"/>
    <w:rPr>
      <w:b/>
      <w:bCs/>
      <w:sz w:val="20"/>
      <w:szCs w:val="20"/>
    </w:rPr>
  </w:style>
  <w:style w:type="paragraph" w:customStyle="1" w:styleId="Tablebul1">
    <w:name w:val="Table bul 1"/>
    <w:basedOn w:val="ListParagraph"/>
    <w:qFormat/>
    <w:rsid w:val="00594630"/>
    <w:pPr>
      <w:numPr>
        <w:numId w:val="8"/>
      </w:numPr>
      <w:ind w:left="245" w:hanging="245"/>
    </w:pPr>
    <w:rPr>
      <w:rFonts w:ascii="Arial" w:hAnsi="Arial" w:cs="Arial"/>
      <w:sz w:val="22"/>
      <w:szCs w:val="22"/>
    </w:rPr>
  </w:style>
  <w:style w:type="paragraph" w:customStyle="1" w:styleId="Tbul1">
    <w:name w:val="Tbul1"/>
    <w:basedOn w:val="Tablebul1"/>
    <w:qFormat/>
    <w:rsid w:val="008833B5"/>
  </w:style>
  <w:style w:type="character" w:styleId="PlaceholderText">
    <w:name w:val="Placeholder Text"/>
    <w:basedOn w:val="DefaultParagraphFont"/>
    <w:uiPriority w:val="99"/>
    <w:semiHidden/>
    <w:rsid w:val="00776459"/>
    <w:rPr>
      <w:color w:val="808080"/>
    </w:rPr>
  </w:style>
  <w:style w:type="character" w:customStyle="1" w:styleId="UnresolvedMention1">
    <w:name w:val="Unresolved Mention1"/>
    <w:basedOn w:val="DefaultParagraphFont"/>
    <w:uiPriority w:val="99"/>
    <w:semiHidden/>
    <w:unhideWhenUsed/>
    <w:rsid w:val="00DE61A2"/>
    <w:rPr>
      <w:color w:val="808080"/>
      <w:shd w:val="clear" w:color="auto" w:fill="E6E6E6"/>
    </w:rPr>
  </w:style>
  <w:style w:type="paragraph" w:customStyle="1" w:styleId="m-2561557062665855191m-1032359889605142278m2119448563998385835msolistparagraph">
    <w:name w:val="m_-2561557062665855191m_-1032359889605142278m_2119448563998385835msolistparagraph"/>
    <w:basedOn w:val="Normal"/>
    <w:rsid w:val="000D17B5"/>
    <w:pPr>
      <w:spacing w:before="100" w:beforeAutospacing="1" w:after="100" w:afterAutospacing="1"/>
    </w:pPr>
    <w:rPr>
      <w:rFonts w:ascii="Times New Roman" w:hAnsi="Times New Roman" w:cs="Times New Roman"/>
      <w:sz w:val="20"/>
      <w:szCs w:val="20"/>
    </w:rPr>
  </w:style>
  <w:style w:type="paragraph" w:customStyle="1" w:styleId="CCRCBullets">
    <w:name w:val="CCRC Bullets"/>
    <w:basedOn w:val="Normal"/>
    <w:qFormat/>
    <w:rsid w:val="00493A13"/>
    <w:pPr>
      <w:tabs>
        <w:tab w:val="num" w:pos="720"/>
      </w:tabs>
      <w:spacing w:after="120"/>
      <w:ind w:left="720" w:hanging="720"/>
    </w:pPr>
    <w:rPr>
      <w:rFonts w:ascii="Times New Roman" w:eastAsiaTheme="minorHAnsi" w:hAnsi="Times New Roman" w:cs="Times New Roman"/>
      <w:sz w:val="22"/>
      <w:szCs w:val="22"/>
    </w:rPr>
  </w:style>
  <w:style w:type="character" w:customStyle="1" w:styleId="Style1">
    <w:name w:val="Style1"/>
    <w:basedOn w:val="DefaultParagraphFont"/>
    <w:uiPriority w:val="1"/>
    <w:rsid w:val="00571984"/>
    <w:rPr>
      <w:rFonts w:asciiTheme="majorHAnsi" w:hAnsiTheme="majorHAnsi"/>
      <w:sz w:val="18"/>
    </w:rPr>
  </w:style>
  <w:style w:type="character" w:customStyle="1" w:styleId="Style2">
    <w:name w:val="Style2"/>
    <w:basedOn w:val="DefaultParagraphFont"/>
    <w:uiPriority w:val="1"/>
    <w:rsid w:val="00571984"/>
    <w:rPr>
      <w:rFonts w:asciiTheme="majorHAnsi" w:hAnsiTheme="majorHAnsi"/>
      <w:sz w:val="18"/>
    </w:rPr>
  </w:style>
  <w:style w:type="character" w:customStyle="1" w:styleId="Style3">
    <w:name w:val="Style3"/>
    <w:basedOn w:val="DefaultParagraphFont"/>
    <w:uiPriority w:val="1"/>
    <w:rsid w:val="00571984"/>
    <w:rPr>
      <w:rFonts w:asciiTheme="majorHAnsi" w:hAnsiTheme="majorHAnsi"/>
      <w:sz w:val="18"/>
    </w:rPr>
  </w:style>
  <w:style w:type="character" w:customStyle="1" w:styleId="Style4">
    <w:name w:val="Style4"/>
    <w:basedOn w:val="DefaultParagraphFont"/>
    <w:uiPriority w:val="1"/>
    <w:rsid w:val="00571984"/>
    <w:rPr>
      <w:rFonts w:asciiTheme="majorHAnsi" w:hAnsiTheme="majorHAnsi"/>
      <w:sz w:val="18"/>
    </w:rPr>
  </w:style>
  <w:style w:type="character" w:customStyle="1" w:styleId="Style5">
    <w:name w:val="Style5"/>
    <w:basedOn w:val="DefaultParagraphFont"/>
    <w:uiPriority w:val="1"/>
    <w:rsid w:val="00571984"/>
  </w:style>
  <w:style w:type="character" w:customStyle="1" w:styleId="textbox">
    <w:name w:val="text box"/>
    <w:basedOn w:val="DefaultParagraphFont"/>
    <w:uiPriority w:val="1"/>
    <w:qFormat/>
    <w:rsid w:val="00E62C7D"/>
    <w:rPr>
      <w:rFonts w:ascii="Calibri" w:hAnsi="Calibri"/>
      <w:sz w:val="18"/>
    </w:rPr>
  </w:style>
  <w:style w:type="character" w:customStyle="1" w:styleId="Heading1Char">
    <w:name w:val="Heading 1 Char"/>
    <w:basedOn w:val="DefaultParagraphFont"/>
    <w:link w:val="Heading1"/>
    <w:uiPriority w:val="9"/>
    <w:rsid w:val="0057419A"/>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guidedpathwaysinfo@cccco.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a-support@productops.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j/wMrZ6BqhXSSUTJ3oPgmsHfzw==">AMUW2mUUEPToFMteE2iset54kYDrsdWIQ2vK45zPhZghDnjtxryGKqkVdr6FMAVZJoMQNWdjQx9+kXRfE+tETJ5S1l6edBg9Tmwd5jQAc6XK6fwY0BucVjtKztmV3EFE5vyKiJogpqnn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8717</Words>
  <Characters>49689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Cale-Henson</dc:creator>
  <cp:lastModifiedBy>Stephenson, Jeff</cp:lastModifiedBy>
  <cp:revision>3</cp:revision>
  <dcterms:created xsi:type="dcterms:W3CDTF">2022-02-11T16:16:00Z</dcterms:created>
  <dcterms:modified xsi:type="dcterms:W3CDTF">2022-02-11T16:34:00Z</dcterms:modified>
</cp:coreProperties>
</file>