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62002" w:rsidRPr="00DA0524" w:rsidRDefault="005315B6" w:rsidP="00DA0524">
      <w:pPr>
        <w:pStyle w:val="Heading2"/>
      </w:pPr>
      <w:r w:rsidRPr="00DA0524">
        <w:t xml:space="preserve">Our Scheduling Vision: </w:t>
      </w:r>
    </w:p>
    <w:p w:rsidR="00862002" w:rsidRDefault="005315B6" w:rsidP="005401F5">
      <w:pPr>
        <w:spacing w:after="0" w:line="240" w:lineRule="auto"/>
      </w:pPr>
      <w:r>
        <w:rPr>
          <w:b/>
          <w:color w:val="000000"/>
          <w:u w:val="single"/>
        </w:rPr>
        <w:t>Students are the reason we are here, and their education is our primary responsibility.</w:t>
      </w:r>
      <w:r>
        <w:t xml:space="preserve"> The primary purpose driving the development of our Academic Schedule is to provide students access and opportunities to: </w:t>
      </w:r>
    </w:p>
    <w:p w:rsidR="00862002" w:rsidRDefault="005315B6" w:rsidP="005401F5">
      <w:pPr>
        <w:numPr>
          <w:ilvl w:val="0"/>
          <w:numId w:val="1"/>
        </w:numPr>
        <w:pBdr>
          <w:top w:val="nil"/>
          <w:left w:val="nil"/>
          <w:bottom w:val="nil"/>
          <w:right w:val="nil"/>
          <w:between w:val="nil"/>
        </w:pBdr>
        <w:spacing w:after="0" w:line="240" w:lineRule="auto"/>
      </w:pPr>
      <w:r>
        <w:rPr>
          <w:color w:val="000000"/>
        </w:rPr>
        <w:t>develop their abilities;</w:t>
      </w:r>
    </w:p>
    <w:p w:rsidR="00862002" w:rsidRDefault="005315B6" w:rsidP="005401F5">
      <w:pPr>
        <w:numPr>
          <w:ilvl w:val="0"/>
          <w:numId w:val="1"/>
        </w:numPr>
        <w:pBdr>
          <w:top w:val="nil"/>
          <w:left w:val="nil"/>
          <w:bottom w:val="nil"/>
          <w:right w:val="nil"/>
          <w:between w:val="nil"/>
        </w:pBdr>
        <w:spacing w:after="0" w:line="240" w:lineRule="auto"/>
      </w:pPr>
      <w:r>
        <w:rPr>
          <w:color w:val="000000"/>
        </w:rPr>
        <w:t>engage in critical and creative thinking;</w:t>
      </w:r>
    </w:p>
    <w:p w:rsidR="005401F5" w:rsidRDefault="005401F5" w:rsidP="005401F5">
      <w:pPr>
        <w:numPr>
          <w:ilvl w:val="0"/>
          <w:numId w:val="1"/>
        </w:numPr>
        <w:pBdr>
          <w:top w:val="nil"/>
          <w:left w:val="nil"/>
          <w:bottom w:val="nil"/>
          <w:right w:val="nil"/>
          <w:between w:val="nil"/>
        </w:pBdr>
        <w:spacing w:after="0" w:line="240" w:lineRule="auto"/>
      </w:pPr>
      <w:bookmarkStart w:id="0" w:name="_heading=h.gjdgxs" w:colFirst="0" w:colLast="0"/>
      <w:bookmarkEnd w:id="0"/>
      <w:r>
        <w:rPr>
          <w:color w:val="000000"/>
        </w:rPr>
        <w:t>succeed in a competitive global work environment;</w:t>
      </w:r>
    </w:p>
    <w:p w:rsidR="005401F5" w:rsidRPr="005401F5" w:rsidRDefault="005401F5" w:rsidP="005401F5">
      <w:pPr>
        <w:numPr>
          <w:ilvl w:val="0"/>
          <w:numId w:val="1"/>
        </w:numPr>
        <w:pBdr>
          <w:top w:val="nil"/>
          <w:left w:val="nil"/>
          <w:bottom w:val="nil"/>
          <w:right w:val="nil"/>
          <w:between w:val="nil"/>
        </w:pBdr>
        <w:spacing w:after="0" w:line="240" w:lineRule="auto"/>
      </w:pPr>
      <w:proofErr w:type="gramStart"/>
      <w:r>
        <w:rPr>
          <w:color w:val="000000"/>
        </w:rPr>
        <w:t>exhibit</w:t>
      </w:r>
      <w:proofErr w:type="gramEnd"/>
      <w:r>
        <w:rPr>
          <w:color w:val="000000"/>
        </w:rPr>
        <w:t xml:space="preserve"> responsible citizenship benefit society as well as themselves. </w:t>
      </w:r>
    </w:p>
    <w:p w:rsidR="00862002" w:rsidRDefault="005315B6" w:rsidP="005401F5">
      <w:pPr>
        <w:numPr>
          <w:ilvl w:val="0"/>
          <w:numId w:val="1"/>
        </w:numPr>
        <w:pBdr>
          <w:top w:val="nil"/>
          <w:left w:val="nil"/>
          <w:bottom w:val="nil"/>
          <w:right w:val="nil"/>
          <w:between w:val="nil"/>
        </w:pBdr>
        <w:spacing w:after="0" w:line="240" w:lineRule="auto"/>
      </w:pPr>
      <w:r>
        <w:rPr>
          <w:color w:val="000000"/>
        </w:rPr>
        <w:t xml:space="preserve">participate in lifelong learning; </w:t>
      </w:r>
    </w:p>
    <w:p w:rsidR="00862002" w:rsidRPr="005F2F6D" w:rsidRDefault="005315B6" w:rsidP="00DA0524">
      <w:pPr>
        <w:pStyle w:val="Heading3"/>
        <w:rPr>
          <w:color w:val="374049"/>
        </w:rPr>
      </w:pPr>
      <w:r w:rsidRPr="005F2F6D">
        <w:t xml:space="preserve">ARC’s </w:t>
      </w:r>
      <w:r w:rsidRPr="00DA0524">
        <w:t>schedule</w:t>
      </w:r>
      <w:r w:rsidRPr="005F2F6D">
        <w:t xml:space="preserve"> development process</w:t>
      </w:r>
      <w:r w:rsidRPr="005F2F6D">
        <w:rPr>
          <w:rFonts w:ascii="Cambria" w:eastAsia="Cambria" w:hAnsi="Cambria" w:cs="Cambria"/>
          <w:color w:val="374049"/>
          <w:sz w:val="23"/>
          <w:szCs w:val="23"/>
        </w:rPr>
        <w:t xml:space="preserve"> </w:t>
      </w:r>
      <w:r w:rsidRPr="005F2F6D">
        <w:rPr>
          <w:color w:val="374049"/>
        </w:rPr>
        <w:t>requires:</w:t>
      </w:r>
    </w:p>
    <w:p w:rsidR="00862002" w:rsidRDefault="005315B6" w:rsidP="005401F5">
      <w:pPr>
        <w:numPr>
          <w:ilvl w:val="0"/>
          <w:numId w:val="2"/>
        </w:numPr>
        <w:pBdr>
          <w:top w:val="nil"/>
          <w:left w:val="nil"/>
          <w:bottom w:val="nil"/>
          <w:right w:val="nil"/>
          <w:between w:val="nil"/>
        </w:pBdr>
        <w:spacing w:after="0" w:line="240" w:lineRule="auto"/>
        <w:ind w:left="720"/>
        <w:rPr>
          <w:color w:val="374049"/>
        </w:rPr>
      </w:pPr>
      <w:r>
        <w:rPr>
          <w:color w:val="374049"/>
        </w:rPr>
        <w:t xml:space="preserve">fiscally sound, efficient, transparent, and accountable practices; </w:t>
      </w:r>
    </w:p>
    <w:p w:rsidR="00862002" w:rsidRDefault="005315B6" w:rsidP="005401F5">
      <w:pPr>
        <w:numPr>
          <w:ilvl w:val="0"/>
          <w:numId w:val="2"/>
        </w:numPr>
        <w:pBdr>
          <w:top w:val="nil"/>
          <w:left w:val="nil"/>
          <w:bottom w:val="nil"/>
          <w:right w:val="nil"/>
          <w:between w:val="nil"/>
        </w:pBdr>
        <w:spacing w:after="0" w:line="240" w:lineRule="auto"/>
        <w:ind w:left="720"/>
        <w:rPr>
          <w:color w:val="374049"/>
        </w:rPr>
      </w:pPr>
      <w:r>
        <w:rPr>
          <w:color w:val="374049"/>
        </w:rPr>
        <w:t xml:space="preserve">effective communication within the college and with the communities served by the college; </w:t>
      </w:r>
    </w:p>
    <w:p w:rsidR="00862002" w:rsidRDefault="005315B6" w:rsidP="005401F5">
      <w:pPr>
        <w:numPr>
          <w:ilvl w:val="0"/>
          <w:numId w:val="2"/>
        </w:numPr>
        <w:pBdr>
          <w:top w:val="nil"/>
          <w:left w:val="nil"/>
          <w:bottom w:val="nil"/>
          <w:right w:val="nil"/>
          <w:between w:val="nil"/>
        </w:pBdr>
        <w:spacing w:after="0" w:line="240" w:lineRule="auto"/>
        <w:ind w:left="720"/>
        <w:rPr>
          <w:color w:val="374049"/>
        </w:rPr>
      </w:pPr>
      <w:proofErr w:type="gramStart"/>
      <w:r>
        <w:rPr>
          <w:color w:val="374049"/>
        </w:rPr>
        <w:t>civil</w:t>
      </w:r>
      <w:proofErr w:type="gramEnd"/>
      <w:r>
        <w:rPr>
          <w:color w:val="374049"/>
        </w:rPr>
        <w:t xml:space="preserve"> and honest communication that promote mutual respect and trust. </w:t>
      </w:r>
    </w:p>
    <w:p w:rsidR="00DA0524" w:rsidRDefault="005315B6" w:rsidP="00DA0524">
      <w:pPr>
        <w:pStyle w:val="Heading3"/>
      </w:pPr>
      <w:r>
        <w:t>Guiding principle for selecting classes:</w:t>
      </w:r>
    </w:p>
    <w:p w:rsidR="00862002" w:rsidRDefault="005315B6" w:rsidP="005401F5">
      <w:pPr>
        <w:spacing w:after="0" w:line="240" w:lineRule="auto"/>
        <w:rPr>
          <w:color w:val="000000"/>
        </w:rPr>
      </w:pPr>
      <w:r>
        <w:rPr>
          <w:i/>
          <w:color w:val="000000"/>
        </w:rPr>
        <w:t xml:space="preserve">Courses should be selected to maximize the potential for student success. </w:t>
      </w:r>
      <w:r>
        <w:rPr>
          <w:color w:val="000000"/>
        </w:rPr>
        <w:t>Courses scheduled should lead to the following:</w:t>
      </w:r>
    </w:p>
    <w:p w:rsidR="00862002" w:rsidRDefault="005315B6" w:rsidP="005401F5">
      <w:pPr>
        <w:numPr>
          <w:ilvl w:val="0"/>
          <w:numId w:val="3"/>
        </w:numPr>
        <w:pBdr>
          <w:top w:val="nil"/>
          <w:left w:val="nil"/>
          <w:bottom w:val="nil"/>
          <w:right w:val="nil"/>
          <w:between w:val="nil"/>
        </w:pBdr>
        <w:spacing w:after="0" w:line="240" w:lineRule="auto"/>
        <w:rPr>
          <w:color w:val="000000"/>
        </w:rPr>
      </w:pPr>
      <w:r>
        <w:rPr>
          <w:color w:val="000000"/>
        </w:rPr>
        <w:t>College readiness</w:t>
      </w:r>
    </w:p>
    <w:p w:rsidR="00862002" w:rsidRDefault="005315B6" w:rsidP="005401F5">
      <w:pPr>
        <w:numPr>
          <w:ilvl w:val="0"/>
          <w:numId w:val="3"/>
        </w:numPr>
        <w:pBdr>
          <w:top w:val="nil"/>
          <w:left w:val="nil"/>
          <w:bottom w:val="nil"/>
          <w:right w:val="nil"/>
          <w:between w:val="nil"/>
        </w:pBdr>
        <w:spacing w:after="0" w:line="240" w:lineRule="auto"/>
        <w:rPr>
          <w:color w:val="000000"/>
        </w:rPr>
      </w:pPr>
      <w:r>
        <w:rPr>
          <w:color w:val="000000"/>
        </w:rPr>
        <w:t>Two-year transfer preparation</w:t>
      </w:r>
    </w:p>
    <w:p w:rsidR="00862002" w:rsidRDefault="005315B6" w:rsidP="005401F5">
      <w:pPr>
        <w:numPr>
          <w:ilvl w:val="0"/>
          <w:numId w:val="3"/>
        </w:numPr>
        <w:pBdr>
          <w:top w:val="nil"/>
          <w:left w:val="nil"/>
          <w:bottom w:val="nil"/>
          <w:right w:val="nil"/>
          <w:between w:val="nil"/>
        </w:pBdr>
        <w:spacing w:after="0" w:line="240" w:lineRule="auto"/>
        <w:rPr>
          <w:color w:val="000000"/>
        </w:rPr>
      </w:pPr>
      <w:r>
        <w:rPr>
          <w:color w:val="000000"/>
        </w:rPr>
        <w:t>Associate degrees, particularly TMCs</w:t>
      </w:r>
    </w:p>
    <w:p w:rsidR="00862002" w:rsidRDefault="005315B6" w:rsidP="005401F5">
      <w:pPr>
        <w:numPr>
          <w:ilvl w:val="0"/>
          <w:numId w:val="3"/>
        </w:numPr>
        <w:pBdr>
          <w:top w:val="nil"/>
          <w:left w:val="nil"/>
          <w:bottom w:val="nil"/>
          <w:right w:val="nil"/>
          <w:between w:val="nil"/>
        </w:pBdr>
        <w:spacing w:after="0" w:line="240" w:lineRule="auto"/>
        <w:rPr>
          <w:color w:val="000000"/>
        </w:rPr>
      </w:pPr>
      <w:r>
        <w:rPr>
          <w:color w:val="000000"/>
        </w:rPr>
        <w:t xml:space="preserve">Degrees and certificates </w:t>
      </w:r>
      <w:r>
        <w:t>that</w:t>
      </w:r>
      <w:r>
        <w:rPr>
          <w:color w:val="000000"/>
        </w:rPr>
        <w:t xml:space="preserve"> prepare students for professional licensure and certification</w:t>
      </w:r>
    </w:p>
    <w:p w:rsidR="00862002" w:rsidRDefault="005315B6" w:rsidP="005401F5">
      <w:pPr>
        <w:numPr>
          <w:ilvl w:val="0"/>
          <w:numId w:val="3"/>
        </w:numPr>
        <w:pBdr>
          <w:top w:val="nil"/>
          <w:left w:val="nil"/>
          <w:bottom w:val="nil"/>
          <w:right w:val="nil"/>
          <w:between w:val="nil"/>
        </w:pBdr>
        <w:spacing w:after="0" w:line="240" w:lineRule="auto"/>
        <w:rPr>
          <w:color w:val="000000"/>
        </w:rPr>
      </w:pPr>
      <w:r>
        <w:rPr>
          <w:color w:val="000000"/>
        </w:rPr>
        <w:t>Certificates which have a demonstrated record of employment</w:t>
      </w:r>
    </w:p>
    <w:p w:rsidR="00862002" w:rsidRDefault="005315B6" w:rsidP="005401F5">
      <w:pPr>
        <w:numPr>
          <w:ilvl w:val="0"/>
          <w:numId w:val="3"/>
        </w:numPr>
        <w:pBdr>
          <w:top w:val="nil"/>
          <w:left w:val="nil"/>
          <w:bottom w:val="nil"/>
          <w:right w:val="nil"/>
          <w:between w:val="nil"/>
        </w:pBdr>
        <w:spacing w:after="0" w:line="240" w:lineRule="auto"/>
        <w:rPr>
          <w:color w:val="000000"/>
        </w:rPr>
      </w:pPr>
      <w:r>
        <w:rPr>
          <w:color w:val="000000"/>
        </w:rPr>
        <w:t>Support for visual and performing arts, cultural awareness, wellness, and intercollegiate sports</w:t>
      </w:r>
    </w:p>
    <w:p w:rsidR="00DA0524" w:rsidRDefault="005315B6" w:rsidP="00DA0524">
      <w:pPr>
        <w:pStyle w:val="Heading3"/>
      </w:pPr>
      <w:r>
        <w:t xml:space="preserve">Guiding principle for scheduling: </w:t>
      </w:r>
    </w:p>
    <w:p w:rsidR="005401F5" w:rsidRDefault="005315B6" w:rsidP="00DA0524">
      <w:pPr>
        <w:spacing w:line="240" w:lineRule="auto"/>
      </w:pPr>
      <w:r>
        <w:t xml:space="preserve">Scheduling for student success means creating paths to transfer or employment while maintaining maximum effectiveness and efficiency in the use of faculty, finances, and facilities. </w:t>
      </w:r>
    </w:p>
    <w:p w:rsidR="00862002" w:rsidRPr="005401F5" w:rsidRDefault="005315B6" w:rsidP="00DA0524">
      <w:pPr>
        <w:pStyle w:val="Heading3"/>
      </w:pPr>
      <w:r w:rsidRPr="005401F5">
        <w:t>Courses should be prioritized and scheduled based on the following considerations:</w:t>
      </w:r>
    </w:p>
    <w:p w:rsidR="00862002" w:rsidRDefault="005315B6" w:rsidP="005401F5">
      <w:pPr>
        <w:numPr>
          <w:ilvl w:val="0"/>
          <w:numId w:val="5"/>
        </w:numPr>
        <w:pBdr>
          <w:top w:val="nil"/>
          <w:left w:val="nil"/>
          <w:bottom w:val="nil"/>
          <w:right w:val="nil"/>
          <w:between w:val="nil"/>
        </w:pBdr>
        <w:spacing w:after="0" w:line="240" w:lineRule="auto"/>
        <w:rPr>
          <w:color w:val="000000"/>
        </w:rPr>
      </w:pPr>
      <w:r>
        <w:rPr>
          <w:color w:val="000000"/>
        </w:rPr>
        <w:t xml:space="preserve">Schedule courses to meet demand/required number of sections in order for students to efficiently navigate program pathways based on data. </w:t>
      </w:r>
    </w:p>
    <w:p w:rsidR="00862002" w:rsidRDefault="005315B6" w:rsidP="005401F5">
      <w:pPr>
        <w:numPr>
          <w:ilvl w:val="0"/>
          <w:numId w:val="5"/>
        </w:numPr>
        <w:pBdr>
          <w:top w:val="nil"/>
          <w:left w:val="nil"/>
          <w:bottom w:val="nil"/>
          <w:right w:val="nil"/>
          <w:between w:val="nil"/>
        </w:pBdr>
        <w:spacing w:after="0" w:line="240" w:lineRule="auto"/>
        <w:rPr>
          <w:color w:val="000000"/>
        </w:rPr>
      </w:pPr>
      <w:r>
        <w:rPr>
          <w:color w:val="000000"/>
        </w:rPr>
        <w:t xml:space="preserve">Schedule courses to </w:t>
      </w:r>
      <w:r>
        <w:t>meet the demand</w:t>
      </w:r>
      <w:r>
        <w:rPr>
          <w:color w:val="000000"/>
        </w:rPr>
        <w:t xml:space="preserve"> of opt-out-schedules </w:t>
      </w:r>
      <w:r w:rsidR="00DA0524">
        <w:rPr>
          <w:color w:val="000000"/>
        </w:rPr>
        <w:t xml:space="preserve">and </w:t>
      </w:r>
      <w:r>
        <w:rPr>
          <w:color w:val="000000"/>
        </w:rPr>
        <w:t>program pathways based on data.</w:t>
      </w:r>
    </w:p>
    <w:p w:rsidR="00862002" w:rsidRDefault="005315B6" w:rsidP="005401F5">
      <w:pPr>
        <w:numPr>
          <w:ilvl w:val="0"/>
          <w:numId w:val="5"/>
        </w:numPr>
        <w:pBdr>
          <w:top w:val="nil"/>
          <w:left w:val="nil"/>
          <w:bottom w:val="nil"/>
          <w:right w:val="nil"/>
          <w:between w:val="nil"/>
        </w:pBdr>
        <w:spacing w:after="0" w:line="240" w:lineRule="auto"/>
        <w:rPr>
          <w:color w:val="000000"/>
        </w:rPr>
      </w:pPr>
      <w:r>
        <w:rPr>
          <w:color w:val="000000"/>
        </w:rPr>
        <w:t>Schedule courses to meet the target WSCH/Productivity which has been determined for each program or discipline. FTEF will be apportioned based on historical data and balance of student needs.</w:t>
      </w:r>
    </w:p>
    <w:p w:rsidR="00862002" w:rsidRDefault="005315B6" w:rsidP="005401F5">
      <w:pPr>
        <w:numPr>
          <w:ilvl w:val="0"/>
          <w:numId w:val="5"/>
        </w:numPr>
        <w:pBdr>
          <w:top w:val="nil"/>
          <w:left w:val="nil"/>
          <w:bottom w:val="nil"/>
          <w:right w:val="nil"/>
          <w:between w:val="nil"/>
        </w:pBdr>
        <w:spacing w:after="0" w:line="240" w:lineRule="auto"/>
        <w:rPr>
          <w:color w:val="000000"/>
        </w:rPr>
      </w:pPr>
      <w:r>
        <w:rPr>
          <w:color w:val="000000"/>
        </w:rPr>
        <w:t>Schedule sections into blocks of time which allow for efficient use of classrooms. Students should be allowed at least ten minutes to get from one class to another. They should not be precluded from taking a class because it overlaps the timeframe of another.</w:t>
      </w:r>
    </w:p>
    <w:p w:rsidR="00862002" w:rsidRDefault="005315B6" w:rsidP="005401F5">
      <w:pPr>
        <w:numPr>
          <w:ilvl w:val="0"/>
          <w:numId w:val="5"/>
        </w:numPr>
        <w:pBdr>
          <w:top w:val="nil"/>
          <w:left w:val="nil"/>
          <w:bottom w:val="nil"/>
          <w:right w:val="nil"/>
          <w:between w:val="nil"/>
        </w:pBdr>
        <w:spacing w:after="0" w:line="240" w:lineRule="auto"/>
        <w:rPr>
          <w:color w:val="000000"/>
        </w:rPr>
      </w:pPr>
      <w:r>
        <w:rPr>
          <w:color w:val="000000"/>
        </w:rPr>
        <w:t>Schedule sequential courses which lead to college readiness, degrees, certificates, or licensure such that students will make successful progress from one course to another. Strategies include offering sections at a time which has proven successful and offering enough sections to accommodate the numbers of students completing the prerequisite course or move to college level writing and math skills.</w:t>
      </w:r>
    </w:p>
    <w:p w:rsidR="00862002" w:rsidRDefault="005315B6" w:rsidP="005401F5">
      <w:pPr>
        <w:numPr>
          <w:ilvl w:val="0"/>
          <w:numId w:val="5"/>
        </w:numPr>
        <w:pBdr>
          <w:top w:val="nil"/>
          <w:left w:val="nil"/>
          <w:bottom w:val="nil"/>
          <w:right w:val="nil"/>
          <w:between w:val="nil"/>
        </w:pBdr>
        <w:spacing w:after="0" w:line="240" w:lineRule="auto"/>
        <w:rPr>
          <w:color w:val="000000"/>
        </w:rPr>
      </w:pPr>
      <w:r>
        <w:rPr>
          <w:color w:val="000000"/>
        </w:rPr>
        <w:t>Offer low-enrollment courses needed for transfer, certification, or licensure at adequate intervals to allow students to move ahead with their goals. (Fill-rate alone should not be used as the basis for offering a course. While fill-rate is important for determining numbers of multi-section offerings, students’ ability to move toward transfer and employment must be actively ensured. In addition, low class size may be mandated by external regulations.)</w:t>
      </w:r>
    </w:p>
    <w:p w:rsidR="00862002" w:rsidRDefault="005315B6" w:rsidP="005401F5">
      <w:pPr>
        <w:numPr>
          <w:ilvl w:val="0"/>
          <w:numId w:val="5"/>
        </w:numPr>
        <w:pBdr>
          <w:top w:val="nil"/>
          <w:left w:val="nil"/>
          <w:bottom w:val="nil"/>
          <w:right w:val="nil"/>
          <w:between w:val="nil"/>
        </w:pBdr>
        <w:spacing w:after="0" w:line="240" w:lineRule="auto"/>
      </w:pPr>
      <w:r>
        <w:rPr>
          <w:color w:val="000000"/>
        </w:rPr>
        <w:lastRenderedPageBreak/>
        <w:t>Balance choices of times, locations, and delivery methods based on data. Online and partially online courses offer students important options. Offer sufficient sections to meet student demand in all modalities.</w:t>
      </w:r>
    </w:p>
    <w:p w:rsidR="00862002" w:rsidRDefault="005315B6" w:rsidP="005401F5">
      <w:pPr>
        <w:numPr>
          <w:ilvl w:val="0"/>
          <w:numId w:val="5"/>
        </w:numPr>
        <w:pBdr>
          <w:top w:val="nil"/>
          <w:left w:val="nil"/>
          <w:bottom w:val="nil"/>
          <w:right w:val="nil"/>
          <w:between w:val="nil"/>
        </w:pBdr>
        <w:spacing w:after="0" w:line="240" w:lineRule="auto"/>
      </w:pPr>
      <w:r>
        <w:rPr>
          <w:color w:val="000000"/>
        </w:rPr>
        <w:t xml:space="preserve">Other factors being equal, prefer courses with higher success rates and lower withdrawal rates. Departments need to address reasons for lower success and higher withdrawal rates paying particular attention to disproportionately-impacted students.  </w:t>
      </w:r>
    </w:p>
    <w:p w:rsidR="00DA0524" w:rsidRDefault="005315B6" w:rsidP="00DA0524">
      <w:pPr>
        <w:numPr>
          <w:ilvl w:val="0"/>
          <w:numId w:val="5"/>
        </w:numPr>
        <w:pBdr>
          <w:top w:val="nil"/>
          <w:left w:val="nil"/>
          <w:bottom w:val="nil"/>
          <w:right w:val="nil"/>
          <w:between w:val="nil"/>
        </w:pBdr>
        <w:spacing w:line="240" w:lineRule="auto"/>
      </w:pPr>
      <w:r>
        <w:rPr>
          <w:color w:val="000000"/>
        </w:rPr>
        <w:t>Consider courses that provide student support and pathways to success, including learning communities, and supplemental instruction.</w:t>
      </w:r>
    </w:p>
    <w:p w:rsidR="00862002" w:rsidRPr="005F2F6D" w:rsidRDefault="005315B6" w:rsidP="00DA0524">
      <w:pPr>
        <w:pStyle w:val="Heading3"/>
      </w:pPr>
      <w:r w:rsidRPr="005F2F6D">
        <w:t>Other Considerations impacting how to prioritize sections to schedule:</w:t>
      </w:r>
    </w:p>
    <w:p w:rsidR="00862002" w:rsidRDefault="005315B6" w:rsidP="005401F5">
      <w:pPr>
        <w:numPr>
          <w:ilvl w:val="0"/>
          <w:numId w:val="4"/>
        </w:numPr>
        <w:pBdr>
          <w:top w:val="nil"/>
          <w:left w:val="nil"/>
          <w:bottom w:val="nil"/>
          <w:right w:val="nil"/>
          <w:between w:val="nil"/>
        </w:pBdr>
        <w:spacing w:after="0" w:line="240" w:lineRule="auto"/>
        <w:rPr>
          <w:color w:val="000000"/>
        </w:rPr>
      </w:pPr>
      <w:r>
        <w:rPr>
          <w:color w:val="000000"/>
        </w:rPr>
        <w:t>Schedule courses which have up-to-date outlines of record. Courses which are out of compliance may not be offered.</w:t>
      </w:r>
    </w:p>
    <w:p w:rsidR="00862002" w:rsidRDefault="005315B6" w:rsidP="005401F5">
      <w:pPr>
        <w:numPr>
          <w:ilvl w:val="0"/>
          <w:numId w:val="4"/>
        </w:numPr>
        <w:pBdr>
          <w:top w:val="nil"/>
          <w:left w:val="nil"/>
          <w:bottom w:val="nil"/>
          <w:right w:val="nil"/>
          <w:between w:val="nil"/>
        </w:pBdr>
        <w:spacing w:after="0" w:line="240" w:lineRule="auto"/>
        <w:rPr>
          <w:color w:val="000000"/>
        </w:rPr>
      </w:pPr>
      <w:r>
        <w:rPr>
          <w:color w:val="000000"/>
        </w:rPr>
        <w:t xml:space="preserve">Sections should be prioritized when added into the schedule </w:t>
      </w:r>
    </w:p>
    <w:p w:rsidR="00862002" w:rsidRDefault="005315B6" w:rsidP="005401F5">
      <w:pPr>
        <w:numPr>
          <w:ilvl w:val="1"/>
          <w:numId w:val="4"/>
        </w:numPr>
        <w:pBdr>
          <w:top w:val="nil"/>
          <w:left w:val="nil"/>
          <w:bottom w:val="nil"/>
          <w:right w:val="nil"/>
          <w:between w:val="nil"/>
        </w:pBdr>
        <w:spacing w:after="0" w:line="240" w:lineRule="auto"/>
        <w:rPr>
          <w:color w:val="000000"/>
        </w:rPr>
      </w:pPr>
      <w:r>
        <w:rPr>
          <w:color w:val="000000"/>
        </w:rPr>
        <w:t xml:space="preserve">Priority should be given to courses that are a </w:t>
      </w:r>
      <w:r>
        <w:rPr>
          <w:i/>
          <w:color w:val="000000"/>
        </w:rPr>
        <w:t>required</w:t>
      </w:r>
      <w:r>
        <w:rPr>
          <w:color w:val="000000"/>
        </w:rPr>
        <w:t xml:space="preserve"> part of degrees and certificates.</w:t>
      </w:r>
    </w:p>
    <w:p w:rsidR="00862002" w:rsidRDefault="005315B6" w:rsidP="005401F5">
      <w:pPr>
        <w:numPr>
          <w:ilvl w:val="1"/>
          <w:numId w:val="4"/>
        </w:numPr>
        <w:pBdr>
          <w:top w:val="nil"/>
          <w:left w:val="nil"/>
          <w:bottom w:val="nil"/>
          <w:right w:val="nil"/>
          <w:between w:val="nil"/>
        </w:pBdr>
        <w:spacing w:after="0" w:line="240" w:lineRule="auto"/>
        <w:rPr>
          <w:color w:val="000000"/>
        </w:rPr>
      </w:pPr>
      <w:r>
        <w:rPr>
          <w:color w:val="000000"/>
        </w:rPr>
        <w:t>Courses that assist students to meet their Math and English requirements.</w:t>
      </w:r>
    </w:p>
    <w:p w:rsidR="00862002" w:rsidRDefault="005315B6" w:rsidP="005401F5">
      <w:pPr>
        <w:numPr>
          <w:ilvl w:val="1"/>
          <w:numId w:val="4"/>
        </w:numPr>
        <w:pBdr>
          <w:top w:val="nil"/>
          <w:left w:val="nil"/>
          <w:bottom w:val="nil"/>
          <w:right w:val="nil"/>
          <w:between w:val="nil"/>
        </w:pBdr>
        <w:spacing w:after="0" w:line="240" w:lineRule="auto"/>
        <w:rPr>
          <w:color w:val="000000"/>
        </w:rPr>
      </w:pPr>
      <w:r>
        <w:rPr>
          <w:color w:val="000000"/>
        </w:rPr>
        <w:t>Courses that are a part of a narrow restricted list of electives within a degree or certificate should be added in based upon historical and predictive data evaluating demand for these sections.</w:t>
      </w:r>
    </w:p>
    <w:p w:rsidR="00862002" w:rsidRDefault="005315B6" w:rsidP="005401F5">
      <w:pPr>
        <w:numPr>
          <w:ilvl w:val="1"/>
          <w:numId w:val="4"/>
        </w:numPr>
        <w:pBdr>
          <w:top w:val="nil"/>
          <w:left w:val="nil"/>
          <w:bottom w:val="nil"/>
          <w:right w:val="nil"/>
          <w:between w:val="nil"/>
        </w:pBdr>
        <w:spacing w:after="0" w:line="240" w:lineRule="auto"/>
        <w:rPr>
          <w:color w:val="000000"/>
        </w:rPr>
      </w:pPr>
      <w:r>
        <w:rPr>
          <w:color w:val="000000"/>
        </w:rPr>
        <w:t xml:space="preserve">Scheduling decisions regarding courses that meet GE/unrestricted electives that are specifically delineated in program pathways or maps should be driven by historical and predictive data evaluating demand for these sections. </w:t>
      </w:r>
    </w:p>
    <w:p w:rsidR="00862002" w:rsidRPr="005401F5" w:rsidRDefault="005315B6" w:rsidP="005401F5">
      <w:pPr>
        <w:numPr>
          <w:ilvl w:val="1"/>
          <w:numId w:val="4"/>
        </w:numPr>
        <w:pBdr>
          <w:top w:val="nil"/>
          <w:left w:val="nil"/>
          <w:bottom w:val="nil"/>
          <w:right w:val="nil"/>
          <w:between w:val="nil"/>
        </w:pBdr>
        <w:spacing w:after="0" w:line="240" w:lineRule="auto"/>
      </w:pPr>
      <w:r>
        <w:rPr>
          <w:color w:val="000000"/>
        </w:rPr>
        <w:t>Courses that are required to support publications, performances, athletics, and equity and inclusion college efforts should be supported in the schedule. There should be a recursive conversation regarding enrollment and these programs.</w:t>
      </w:r>
    </w:p>
    <w:p w:rsidR="005401F5" w:rsidRDefault="005401F5" w:rsidP="005401F5">
      <w:pPr>
        <w:numPr>
          <w:ilvl w:val="1"/>
          <w:numId w:val="4"/>
        </w:numPr>
        <w:pBdr>
          <w:top w:val="nil"/>
          <w:left w:val="nil"/>
          <w:bottom w:val="nil"/>
          <w:right w:val="nil"/>
          <w:between w:val="nil"/>
        </w:pBdr>
        <w:spacing w:after="0" w:line="240" w:lineRule="auto"/>
      </w:pPr>
      <w:r>
        <w:rPr>
          <w:color w:val="000000"/>
        </w:rPr>
        <w:t xml:space="preserve">Courses which with a demonstrated demand </w:t>
      </w:r>
    </w:p>
    <w:p w:rsidR="00862002" w:rsidRDefault="005315B6" w:rsidP="005401F5">
      <w:pPr>
        <w:numPr>
          <w:ilvl w:val="1"/>
          <w:numId w:val="4"/>
        </w:numPr>
        <w:pBdr>
          <w:top w:val="nil"/>
          <w:left w:val="nil"/>
          <w:bottom w:val="nil"/>
          <w:right w:val="nil"/>
          <w:between w:val="nil"/>
        </w:pBdr>
        <w:spacing w:after="0" w:line="240" w:lineRule="auto"/>
        <w:rPr>
          <w:color w:val="000000"/>
        </w:rPr>
      </w:pPr>
      <w:r>
        <w:rPr>
          <w:color w:val="000000"/>
        </w:rPr>
        <w:t xml:space="preserve">Courses which </w:t>
      </w:r>
      <w:r w:rsidR="005401F5">
        <w:rPr>
          <w:color w:val="000000"/>
        </w:rPr>
        <w:t xml:space="preserve">provide opportunities that promote lifelong learning however are </w:t>
      </w:r>
      <w:r>
        <w:rPr>
          <w:color w:val="000000"/>
        </w:rPr>
        <w:t xml:space="preserve">not part of required portions of degrees or certificates, are parts of long lists of </w:t>
      </w:r>
      <w:r>
        <w:t>unrestricted</w:t>
      </w:r>
      <w:r>
        <w:rPr>
          <w:color w:val="000000"/>
        </w:rPr>
        <w:t xml:space="preserve"> electives or General </w:t>
      </w:r>
      <w:r w:rsidR="005401F5">
        <w:rPr>
          <w:color w:val="000000"/>
        </w:rPr>
        <w:t>E</w:t>
      </w:r>
      <w:r>
        <w:rPr>
          <w:color w:val="000000"/>
        </w:rPr>
        <w:t xml:space="preserve">ducation options, or do not meet any specific requirements should be added last into the schedule. </w:t>
      </w:r>
    </w:p>
    <w:p w:rsidR="005F2F6D" w:rsidRDefault="005F2F6D" w:rsidP="005401F5">
      <w:pPr>
        <w:numPr>
          <w:ilvl w:val="0"/>
          <w:numId w:val="4"/>
        </w:numPr>
        <w:pBdr>
          <w:top w:val="nil"/>
          <w:left w:val="nil"/>
          <w:bottom w:val="nil"/>
          <w:right w:val="nil"/>
          <w:between w:val="nil"/>
        </w:pBdr>
        <w:spacing w:after="0" w:line="240" w:lineRule="auto"/>
        <w:rPr>
          <w:color w:val="000000"/>
        </w:rPr>
      </w:pPr>
      <w:r>
        <w:rPr>
          <w:color w:val="000000"/>
        </w:rPr>
        <w:t xml:space="preserve">Courses </w:t>
      </w:r>
      <w:r w:rsidR="005401F5">
        <w:rPr>
          <w:color w:val="000000"/>
        </w:rPr>
        <w:t xml:space="preserve">intended to be scheduled into non-specialty classrooms that are </w:t>
      </w:r>
      <w:r>
        <w:rPr>
          <w:color w:val="000000"/>
        </w:rPr>
        <w:t xml:space="preserve">scheduled within the Block Schedule Guidelines should be </w:t>
      </w:r>
      <w:r w:rsidR="00DA0524">
        <w:rPr>
          <w:color w:val="000000"/>
        </w:rPr>
        <w:t>scheduled into</w:t>
      </w:r>
      <w:r>
        <w:rPr>
          <w:color w:val="000000"/>
        </w:rPr>
        <w:t xml:space="preserve"> rooms before courses which are scheduled “off-block.”</w:t>
      </w:r>
    </w:p>
    <w:p w:rsidR="005314EE" w:rsidRDefault="005314EE" w:rsidP="005401F5">
      <w:pPr>
        <w:spacing w:after="0" w:line="240" w:lineRule="auto"/>
        <w:rPr>
          <w:color w:val="000000"/>
        </w:rPr>
        <w:sectPr w:rsidR="005314EE">
          <w:headerReference w:type="default" r:id="rId9"/>
          <w:footerReference w:type="default" r:id="rId10"/>
          <w:pgSz w:w="12240" w:h="15840"/>
          <w:pgMar w:top="1710" w:right="1440" w:bottom="1440" w:left="1440" w:header="720" w:footer="720" w:gutter="0"/>
          <w:pgNumType w:start="1"/>
          <w:cols w:space="720"/>
        </w:sectPr>
      </w:pPr>
    </w:p>
    <w:p w:rsidR="00862002" w:rsidRDefault="00DA0524" w:rsidP="00DA0524">
      <w:pPr>
        <w:pStyle w:val="Heading2"/>
      </w:pPr>
      <w:r>
        <w:lastRenderedPageBreak/>
        <w:t>Full Time Equivalent Faculty (FTEF) Allocation:</w:t>
      </w:r>
    </w:p>
    <w:p w:rsidR="00025A78" w:rsidRDefault="00025A78" w:rsidP="00025A78">
      <w:pPr>
        <w:pStyle w:val="Heading3"/>
      </w:pPr>
      <w:r>
        <w:t>District Allocation:</w:t>
      </w:r>
    </w:p>
    <w:p w:rsidR="00025A78" w:rsidRDefault="00025A78" w:rsidP="00025A78">
      <w:pPr>
        <w:pStyle w:val="NormalWeb"/>
        <w:spacing w:before="0" w:beforeAutospacing="0" w:after="160" w:afterAutospacing="0"/>
      </w:pPr>
      <w:r>
        <w:rPr>
          <w:color w:val="000000"/>
          <w:sz w:val="22"/>
          <w:szCs w:val="22"/>
        </w:rPr>
        <w:t>The Los Rios District produces a draft budget each year. The budget is crafted after the “May Revise” comes out from the Governor’s office. This draft is generally presented to the Board of Trustees at their June board meeting. After the State Budget is finalized, the final budget is brought to the board for approval (generally in the September Board meeting). Within the tentative and approved budgets, the District Office provides both the FTEF allocations for the year as well as the projected WSCH goals and Productivity goals for the district:</w:t>
      </w:r>
    </w:p>
    <w:p w:rsidR="00025A78" w:rsidRDefault="00025A78" w:rsidP="00025A78">
      <w:pPr>
        <w:pStyle w:val="NormalWeb"/>
        <w:spacing w:before="0" w:beforeAutospacing="0" w:after="0" w:afterAutospacing="0"/>
      </w:pPr>
      <w:r>
        <w:rPr>
          <w:noProof/>
          <w:color w:val="000000"/>
          <w:sz w:val="22"/>
          <w:szCs w:val="22"/>
          <w:bdr w:val="none" w:sz="0" w:space="0" w:color="auto" w:frame="1"/>
        </w:rPr>
        <w:drawing>
          <wp:inline distT="0" distB="0" distL="0" distR="0">
            <wp:extent cx="4419600" cy="1676400"/>
            <wp:effectExtent l="0" t="0" r="0" b="0"/>
            <wp:docPr id="1" name="Picture 1" descr="https://lh6.googleusercontent.com/pF3OKwpiiR2s7fUOH1YVEvy4nhZCiH1DsZfINPl93JTkHigcSpmdotL6ZPIZbY7hflqAr9BLCijGJ9uMupq7GipgL0IdCTHR4yXovpji0VZ51U7ERWt0IwrAyNGWrCVvrAfBtdJ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6.googleusercontent.com/pF3OKwpiiR2s7fUOH1YVEvy4nhZCiH1DsZfINPl93JTkHigcSpmdotL6ZPIZbY7hflqAr9BLCijGJ9uMupq7GipgL0IdCTHR4yXovpji0VZ51U7ERWt0IwrAyNGWrCVvrAfBtdJk"/>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419600" cy="1676400"/>
                    </a:xfrm>
                    <a:prstGeom prst="rect">
                      <a:avLst/>
                    </a:prstGeom>
                    <a:noFill/>
                    <a:ln>
                      <a:noFill/>
                    </a:ln>
                  </pic:spPr>
                </pic:pic>
              </a:graphicData>
            </a:graphic>
          </wp:inline>
        </w:drawing>
      </w:r>
    </w:p>
    <w:p w:rsidR="00025A78" w:rsidRDefault="00025A78" w:rsidP="00025A78">
      <w:pPr>
        <w:pStyle w:val="NormalWeb"/>
        <w:spacing w:before="0" w:beforeAutospacing="0" w:after="160" w:afterAutospacing="0"/>
      </w:pPr>
      <w:r>
        <w:rPr>
          <w:color w:val="000000"/>
          <w:sz w:val="22"/>
          <w:szCs w:val="22"/>
        </w:rPr>
        <w:t xml:space="preserve">From </w:t>
      </w:r>
      <w:r>
        <w:rPr>
          <w:i/>
          <w:iCs/>
          <w:color w:val="000000"/>
          <w:sz w:val="22"/>
          <w:szCs w:val="22"/>
        </w:rPr>
        <w:t>2019-20 Adopted Budget</w:t>
      </w:r>
      <w:r>
        <w:rPr>
          <w:color w:val="000000"/>
          <w:sz w:val="22"/>
          <w:szCs w:val="22"/>
        </w:rPr>
        <w:t xml:space="preserve"> presented to the Board of Trustees September 11, 2019, </w:t>
      </w:r>
      <w:proofErr w:type="spellStart"/>
      <w:r>
        <w:rPr>
          <w:color w:val="000000"/>
          <w:sz w:val="22"/>
          <w:szCs w:val="22"/>
        </w:rPr>
        <w:t>Pg</w:t>
      </w:r>
      <w:proofErr w:type="spellEnd"/>
      <w:r>
        <w:rPr>
          <w:color w:val="000000"/>
          <w:sz w:val="22"/>
          <w:szCs w:val="22"/>
        </w:rPr>
        <w:t xml:space="preserve"> 124</w:t>
      </w:r>
    </w:p>
    <w:p w:rsidR="00025A78" w:rsidRDefault="00025A78" w:rsidP="00025A78">
      <w:pPr>
        <w:pStyle w:val="NormalWeb"/>
        <w:spacing w:before="0" w:beforeAutospacing="0" w:after="160" w:afterAutospacing="0"/>
      </w:pPr>
      <w:r>
        <w:rPr>
          <w:color w:val="000000"/>
          <w:sz w:val="22"/>
          <w:szCs w:val="22"/>
        </w:rPr>
        <w:t xml:space="preserve">The Instructional Staffing charts in the Adopted Budget documents provides the FTEF allocated by the district (annualized: multiply by 2 for the total authorized amount for </w:t>
      </w:r>
      <w:proofErr w:type="gramStart"/>
      <w:r>
        <w:rPr>
          <w:color w:val="000000"/>
          <w:sz w:val="22"/>
          <w:szCs w:val="22"/>
        </w:rPr>
        <w:t>Fall</w:t>
      </w:r>
      <w:proofErr w:type="gramEnd"/>
      <w:r>
        <w:rPr>
          <w:color w:val="000000"/>
          <w:sz w:val="22"/>
          <w:szCs w:val="22"/>
        </w:rPr>
        <w:t xml:space="preserve"> and Spring) and the District’s projected WSCH and productivity goals.</w:t>
      </w:r>
    </w:p>
    <w:p w:rsidR="00025A78" w:rsidRDefault="00025A78" w:rsidP="00025A78">
      <w:pPr>
        <w:pStyle w:val="NormalWeb"/>
        <w:spacing w:before="0" w:beforeAutospacing="0" w:after="0" w:afterAutospacing="0"/>
      </w:pPr>
      <w:r>
        <w:rPr>
          <w:color w:val="000000"/>
          <w:sz w:val="22"/>
          <w:szCs w:val="22"/>
        </w:rPr>
        <w:t> A few observations about the allocations coming from district:</w:t>
      </w:r>
    </w:p>
    <w:p w:rsidR="00025A78" w:rsidRDefault="00025A78" w:rsidP="00025A78">
      <w:pPr>
        <w:pStyle w:val="NormalWeb"/>
        <w:numPr>
          <w:ilvl w:val="0"/>
          <w:numId w:val="7"/>
        </w:numPr>
        <w:spacing w:before="0" w:beforeAutospacing="0" w:after="0" w:afterAutospacing="0"/>
        <w:textAlignment w:val="baseline"/>
        <w:rPr>
          <w:color w:val="000000"/>
          <w:sz w:val="22"/>
          <w:szCs w:val="22"/>
        </w:rPr>
      </w:pPr>
      <w:r>
        <w:rPr>
          <w:color w:val="000000"/>
          <w:sz w:val="22"/>
          <w:szCs w:val="22"/>
        </w:rPr>
        <w:t>The FTEF allocations and WSCH/Productivity goals are first released to the college as a part of the tentative budget presented to the board in June. Schedule preparation for the</w:t>
      </w:r>
      <w:proofErr w:type="gramStart"/>
      <w:r>
        <w:rPr>
          <w:color w:val="000000"/>
          <w:sz w:val="22"/>
          <w:szCs w:val="22"/>
        </w:rPr>
        <w:t>  Fall</w:t>
      </w:r>
      <w:proofErr w:type="gramEnd"/>
      <w:r>
        <w:rPr>
          <w:color w:val="000000"/>
          <w:sz w:val="22"/>
          <w:szCs w:val="22"/>
        </w:rPr>
        <w:t xml:space="preserve"> semester begins the previous October, is finalized in March, and enrollment began in April. The allocation is not </w:t>
      </w:r>
      <w:r>
        <w:rPr>
          <w:i/>
          <w:iCs/>
          <w:color w:val="000000"/>
          <w:sz w:val="22"/>
          <w:szCs w:val="22"/>
        </w:rPr>
        <w:t xml:space="preserve">finalized </w:t>
      </w:r>
      <w:r>
        <w:rPr>
          <w:color w:val="000000"/>
          <w:sz w:val="22"/>
          <w:szCs w:val="22"/>
        </w:rPr>
        <w:t xml:space="preserve">until almost a month into the </w:t>
      </w:r>
      <w:proofErr w:type="gramStart"/>
      <w:r>
        <w:rPr>
          <w:color w:val="000000"/>
          <w:sz w:val="22"/>
          <w:szCs w:val="22"/>
        </w:rPr>
        <w:t>Fall</w:t>
      </w:r>
      <w:proofErr w:type="gramEnd"/>
      <w:r>
        <w:rPr>
          <w:color w:val="000000"/>
          <w:sz w:val="22"/>
          <w:szCs w:val="22"/>
        </w:rPr>
        <w:t xml:space="preserve"> semester when the final budget is presented. </w:t>
      </w:r>
    </w:p>
    <w:p w:rsidR="00025A78" w:rsidRDefault="00025A78" w:rsidP="00025A78">
      <w:pPr>
        <w:pStyle w:val="NormalWeb"/>
        <w:numPr>
          <w:ilvl w:val="0"/>
          <w:numId w:val="7"/>
        </w:numPr>
        <w:spacing w:before="0" w:beforeAutospacing="0" w:after="0" w:afterAutospacing="0"/>
        <w:textAlignment w:val="baseline"/>
        <w:rPr>
          <w:color w:val="000000"/>
          <w:sz w:val="22"/>
          <w:szCs w:val="22"/>
        </w:rPr>
      </w:pPr>
      <w:r>
        <w:rPr>
          <w:color w:val="000000"/>
          <w:sz w:val="22"/>
          <w:szCs w:val="22"/>
        </w:rPr>
        <w:t xml:space="preserve">ARC begins the </w:t>
      </w:r>
      <w:proofErr w:type="gramStart"/>
      <w:r>
        <w:rPr>
          <w:color w:val="000000"/>
          <w:sz w:val="22"/>
          <w:szCs w:val="22"/>
        </w:rPr>
        <w:t>Fall</w:t>
      </w:r>
      <w:proofErr w:type="gramEnd"/>
      <w:r>
        <w:rPr>
          <w:color w:val="000000"/>
          <w:sz w:val="22"/>
          <w:szCs w:val="22"/>
        </w:rPr>
        <w:t xml:space="preserve"> scheduling process by basing it off of the prior-year allocation and then adjusting the schedule as the Tentative budget is released in June.</w:t>
      </w:r>
    </w:p>
    <w:p w:rsidR="00025A78" w:rsidRDefault="00025A78" w:rsidP="00025A78">
      <w:pPr>
        <w:pStyle w:val="NormalWeb"/>
        <w:spacing w:before="0" w:beforeAutospacing="0" w:after="0" w:afterAutospacing="0"/>
        <w:textAlignment w:val="baseline"/>
        <w:rPr>
          <w:color w:val="000000"/>
          <w:sz w:val="22"/>
          <w:szCs w:val="22"/>
        </w:rPr>
      </w:pPr>
      <w:r>
        <w:rPr>
          <w:color w:val="000000"/>
          <w:sz w:val="22"/>
          <w:szCs w:val="22"/>
        </w:rPr>
        <w:t xml:space="preserve">Tentative allocations are prepared at the campus level based upon the prior year’s allocation as the process for creating the </w:t>
      </w:r>
      <w:proofErr w:type="gramStart"/>
      <w:r>
        <w:rPr>
          <w:color w:val="000000"/>
          <w:sz w:val="22"/>
          <w:szCs w:val="22"/>
        </w:rPr>
        <w:t>Fall</w:t>
      </w:r>
      <w:proofErr w:type="gramEnd"/>
      <w:r>
        <w:rPr>
          <w:color w:val="000000"/>
          <w:sz w:val="22"/>
          <w:szCs w:val="22"/>
        </w:rPr>
        <w:t xml:space="preserve"> schedule begins in October, seven to nine months before the district provides the actual allocation. </w:t>
      </w:r>
    </w:p>
    <w:p w:rsidR="00863650" w:rsidRDefault="00863650" w:rsidP="00863650">
      <w:pPr>
        <w:pStyle w:val="Heading3"/>
      </w:pPr>
      <w:r>
        <w:t>ARC Allocation Process:</w:t>
      </w:r>
    </w:p>
    <w:p w:rsidR="00C16D7C" w:rsidRDefault="00863650" w:rsidP="00C16D7C">
      <w:pPr>
        <w:pStyle w:val="NormalWeb"/>
        <w:spacing w:before="0" w:beforeAutospacing="0" w:after="160" w:afterAutospacing="0"/>
      </w:pPr>
      <w:r>
        <w:t>FTEF is allocated from the Office of Instruction at the division level and the Area Deans then allocate FTEF down to the department level. The allocation process starts with an evaluation of what was scheduled in the prior Fall Term.</w:t>
      </w:r>
      <w:r w:rsidR="00C16D7C">
        <w:t xml:space="preserve"> Historically this began with a “Roll-over” of the previous production term into a development term for departments to adjust the schedule. </w:t>
      </w:r>
      <w:r w:rsidR="00C16D7C">
        <w:rPr>
          <w:color w:val="000000"/>
          <w:sz w:val="22"/>
          <w:szCs w:val="22"/>
        </w:rPr>
        <w:t xml:space="preserve">Historically, the Instruction Office has worked with the District Office create a copy of the previous like term’s schedule with the room assignments and staffing removed. This copy would become the development schedule for the new term. For example the development schedule for </w:t>
      </w:r>
      <w:proofErr w:type="gramStart"/>
      <w:r w:rsidR="00C16D7C">
        <w:rPr>
          <w:color w:val="000000"/>
          <w:sz w:val="22"/>
          <w:szCs w:val="22"/>
        </w:rPr>
        <w:t>Fall</w:t>
      </w:r>
      <w:proofErr w:type="gramEnd"/>
      <w:r w:rsidR="00C16D7C">
        <w:rPr>
          <w:color w:val="000000"/>
          <w:sz w:val="22"/>
          <w:szCs w:val="22"/>
        </w:rPr>
        <w:t xml:space="preserve"> 2020 is a copy of the </w:t>
      </w:r>
      <w:proofErr w:type="spellStart"/>
      <w:r w:rsidR="00C16D7C">
        <w:rPr>
          <w:color w:val="000000"/>
          <w:sz w:val="22"/>
          <w:szCs w:val="22"/>
        </w:rPr>
        <w:t>FAll</w:t>
      </w:r>
      <w:proofErr w:type="spellEnd"/>
      <w:r w:rsidR="00C16D7C">
        <w:rPr>
          <w:color w:val="000000"/>
          <w:sz w:val="22"/>
          <w:szCs w:val="22"/>
        </w:rPr>
        <w:t xml:space="preserve"> 2019 schedule taken on or around the census date and stripped of instructor names and the rooms that classes had been scheduled into. The development schedule was then distributed to divisions as the first round of schedule development.</w:t>
      </w:r>
    </w:p>
    <w:p w:rsidR="00C16D7C" w:rsidRDefault="00C16D7C" w:rsidP="00C16D7C">
      <w:pPr>
        <w:pStyle w:val="NormalWeb"/>
        <w:spacing w:before="0" w:beforeAutospacing="0" w:after="160" w:afterAutospacing="0"/>
      </w:pPr>
      <w:r>
        <w:rPr>
          <w:color w:val="000000"/>
          <w:sz w:val="22"/>
          <w:szCs w:val="22"/>
        </w:rPr>
        <w:t>A few observations regarding the “Roll-Over” process of schedule development:</w:t>
      </w:r>
    </w:p>
    <w:p w:rsidR="00C16D7C" w:rsidRDefault="00C16D7C" w:rsidP="00C16D7C">
      <w:pPr>
        <w:pStyle w:val="NormalWeb"/>
        <w:numPr>
          <w:ilvl w:val="0"/>
          <w:numId w:val="8"/>
        </w:numPr>
        <w:spacing w:before="0" w:beforeAutospacing="0" w:after="0" w:afterAutospacing="0"/>
        <w:textAlignment w:val="baseline"/>
        <w:rPr>
          <w:color w:val="000000"/>
          <w:sz w:val="22"/>
          <w:szCs w:val="22"/>
        </w:rPr>
      </w:pPr>
      <w:r>
        <w:rPr>
          <w:color w:val="000000"/>
          <w:sz w:val="22"/>
          <w:szCs w:val="22"/>
        </w:rPr>
        <w:lastRenderedPageBreak/>
        <w:t>Basing the development schedule for the next term off of the schedule which was in place at census the previous like term does capture what was scheduled, but is not nuanced enough of a process to account for:</w:t>
      </w:r>
    </w:p>
    <w:p w:rsidR="00C16D7C" w:rsidRDefault="00C16D7C" w:rsidP="00C16D7C">
      <w:pPr>
        <w:pStyle w:val="NormalWeb"/>
        <w:numPr>
          <w:ilvl w:val="1"/>
          <w:numId w:val="8"/>
        </w:numPr>
        <w:spacing w:before="0" w:beforeAutospacing="0" w:after="0" w:afterAutospacing="0"/>
        <w:textAlignment w:val="baseline"/>
        <w:rPr>
          <w:color w:val="000000"/>
          <w:sz w:val="22"/>
          <w:szCs w:val="22"/>
        </w:rPr>
      </w:pPr>
      <w:r>
        <w:rPr>
          <w:color w:val="000000"/>
          <w:sz w:val="22"/>
          <w:szCs w:val="22"/>
        </w:rPr>
        <w:t>Last minute sections which were added into the schedule to accommodate FTEF added just before the semester.</w:t>
      </w:r>
    </w:p>
    <w:p w:rsidR="00C16D7C" w:rsidRDefault="00C16D7C" w:rsidP="00C16D7C">
      <w:pPr>
        <w:pStyle w:val="NormalWeb"/>
        <w:numPr>
          <w:ilvl w:val="1"/>
          <w:numId w:val="8"/>
        </w:numPr>
        <w:spacing w:before="0" w:beforeAutospacing="0" w:after="0" w:afterAutospacing="0"/>
        <w:textAlignment w:val="baseline"/>
        <w:rPr>
          <w:color w:val="000000"/>
          <w:sz w:val="22"/>
          <w:szCs w:val="22"/>
        </w:rPr>
      </w:pPr>
      <w:r>
        <w:rPr>
          <w:color w:val="000000"/>
          <w:sz w:val="22"/>
          <w:szCs w:val="22"/>
        </w:rPr>
        <w:t>Under-enrolled sections that were not cut from the schedule, but are now rolled forward.</w:t>
      </w:r>
    </w:p>
    <w:p w:rsidR="00C16D7C" w:rsidRDefault="00C16D7C" w:rsidP="00C16D7C">
      <w:pPr>
        <w:pStyle w:val="NormalWeb"/>
        <w:numPr>
          <w:ilvl w:val="1"/>
          <w:numId w:val="8"/>
        </w:numPr>
        <w:spacing w:before="0" w:beforeAutospacing="0" w:after="0" w:afterAutospacing="0"/>
        <w:textAlignment w:val="baseline"/>
        <w:rPr>
          <w:color w:val="000000"/>
          <w:sz w:val="22"/>
          <w:szCs w:val="22"/>
        </w:rPr>
      </w:pPr>
      <w:r>
        <w:rPr>
          <w:color w:val="000000"/>
          <w:sz w:val="22"/>
          <w:szCs w:val="22"/>
        </w:rPr>
        <w:t>Accounting for course rotations for electives, capstones, or options within programs which call for courses to be rotated every other term.</w:t>
      </w:r>
    </w:p>
    <w:p w:rsidR="00C16D7C" w:rsidRDefault="00C16D7C" w:rsidP="00C16D7C">
      <w:pPr>
        <w:pStyle w:val="NormalWeb"/>
        <w:numPr>
          <w:ilvl w:val="0"/>
          <w:numId w:val="8"/>
        </w:numPr>
        <w:spacing w:before="0" w:beforeAutospacing="0" w:after="160" w:afterAutospacing="0"/>
        <w:textAlignment w:val="baseline"/>
        <w:rPr>
          <w:color w:val="000000"/>
          <w:sz w:val="22"/>
          <w:szCs w:val="22"/>
        </w:rPr>
      </w:pPr>
      <w:r>
        <w:rPr>
          <w:color w:val="000000"/>
          <w:sz w:val="22"/>
          <w:szCs w:val="22"/>
        </w:rPr>
        <w:t>The timing of the roll-over and the release of the first round to divisions to work on the next term’s schedule does not leave a lot of time for analysis of student needs or FTEF allocations.</w:t>
      </w:r>
    </w:p>
    <w:p w:rsidR="00C16D7C" w:rsidRDefault="00C16D7C" w:rsidP="00C16D7C">
      <w:pPr>
        <w:pStyle w:val="Heading5"/>
        <w:rPr>
          <w:sz w:val="20"/>
          <w:szCs w:val="20"/>
        </w:rPr>
      </w:pPr>
      <w:r>
        <w:rPr>
          <w:color w:val="000000"/>
        </w:rPr>
        <w:t>The Core Schedule</w:t>
      </w:r>
    </w:p>
    <w:p w:rsidR="00C16D7C" w:rsidRDefault="00C16D7C" w:rsidP="00C16D7C">
      <w:pPr>
        <w:pStyle w:val="NormalWeb"/>
        <w:spacing w:before="0" w:beforeAutospacing="0" w:after="160" w:afterAutospacing="0"/>
        <w:rPr>
          <w:color w:val="000000"/>
          <w:sz w:val="22"/>
          <w:szCs w:val="22"/>
        </w:rPr>
      </w:pPr>
      <w:r>
        <w:rPr>
          <w:color w:val="000000"/>
          <w:sz w:val="22"/>
          <w:szCs w:val="22"/>
        </w:rPr>
        <w:t>As schedules are rolled over there are incremental changes made. The table below shows the percentage of courses which have been scheduled over the past four, three, and two like terms where the course, beginning time, ending time, and day pattern remained the same.  (Note this is a comparison of Crystal “Class Size No Grouping by LOC” (RCINS0019) reports for sections which had FTEF attached and was scheduled for a unit value--this eliminated cross-listed sections and the lab portions of Lecture/Lab courses which would have skewed the number of sections). </w:t>
      </w:r>
    </w:p>
    <w:tbl>
      <w:tblPr>
        <w:tblW w:w="7872" w:type="dxa"/>
        <w:tblLook w:val="04A0" w:firstRow="1" w:lastRow="0" w:firstColumn="1" w:lastColumn="0" w:noHBand="0" w:noVBand="1"/>
      </w:tblPr>
      <w:tblGrid>
        <w:gridCol w:w="1072"/>
        <w:gridCol w:w="112"/>
        <w:gridCol w:w="888"/>
        <w:gridCol w:w="112"/>
        <w:gridCol w:w="848"/>
        <w:gridCol w:w="115"/>
        <w:gridCol w:w="688"/>
        <w:gridCol w:w="135"/>
        <w:gridCol w:w="805"/>
        <w:gridCol w:w="135"/>
        <w:gridCol w:w="745"/>
        <w:gridCol w:w="139"/>
        <w:gridCol w:w="646"/>
        <w:gridCol w:w="160"/>
        <w:gridCol w:w="1320"/>
        <w:gridCol w:w="112"/>
      </w:tblGrid>
      <w:tr w:rsidR="00C16D7C" w:rsidRPr="00C16D7C" w:rsidTr="00C16D7C">
        <w:trPr>
          <w:trHeight w:val="300"/>
        </w:trPr>
        <w:tc>
          <w:tcPr>
            <w:tcW w:w="1072" w:type="dxa"/>
            <w:gridSpan w:val="2"/>
            <w:tcBorders>
              <w:top w:val="nil"/>
              <w:left w:val="nil"/>
              <w:bottom w:val="nil"/>
              <w:right w:val="nil"/>
            </w:tcBorders>
            <w:shd w:val="clear" w:color="auto" w:fill="auto"/>
            <w:noWrap/>
            <w:vAlign w:val="bottom"/>
            <w:hideMark/>
          </w:tcPr>
          <w:p w:rsidR="00C16D7C" w:rsidRPr="00C16D7C" w:rsidRDefault="00C16D7C" w:rsidP="00C16D7C">
            <w:pPr>
              <w:spacing w:after="0" w:line="240" w:lineRule="auto"/>
              <w:rPr>
                <w:sz w:val="24"/>
                <w:szCs w:val="24"/>
              </w:rPr>
            </w:pPr>
          </w:p>
        </w:tc>
        <w:tc>
          <w:tcPr>
            <w:tcW w:w="6800" w:type="dxa"/>
            <w:gridSpan w:val="14"/>
            <w:tcBorders>
              <w:top w:val="nil"/>
              <w:left w:val="nil"/>
              <w:bottom w:val="single" w:sz="4" w:space="0" w:color="auto"/>
              <w:right w:val="nil"/>
            </w:tcBorders>
            <w:shd w:val="clear" w:color="auto" w:fill="auto"/>
            <w:noWrap/>
            <w:vAlign w:val="bottom"/>
            <w:hideMark/>
          </w:tcPr>
          <w:p w:rsidR="00C16D7C" w:rsidRPr="00C16D7C" w:rsidRDefault="00C16D7C" w:rsidP="00C16D7C">
            <w:pPr>
              <w:spacing w:after="0" w:line="240" w:lineRule="auto"/>
              <w:jc w:val="center"/>
              <w:rPr>
                <w:b/>
                <w:bCs/>
                <w:color w:val="000000"/>
              </w:rPr>
            </w:pPr>
            <w:r w:rsidRPr="00C16D7C">
              <w:rPr>
                <w:b/>
                <w:bCs/>
                <w:color w:val="000000"/>
              </w:rPr>
              <w:t>Main Campus</w:t>
            </w:r>
          </w:p>
        </w:tc>
      </w:tr>
      <w:tr w:rsidR="00C16D7C" w:rsidRPr="00C16D7C" w:rsidTr="00C16D7C">
        <w:trPr>
          <w:trHeight w:val="600"/>
        </w:trPr>
        <w:tc>
          <w:tcPr>
            <w:tcW w:w="1072" w:type="dxa"/>
            <w:gridSpan w:val="2"/>
            <w:vMerge w:val="restart"/>
            <w:tcBorders>
              <w:top w:val="nil"/>
              <w:left w:val="nil"/>
              <w:bottom w:val="single" w:sz="4" w:space="0" w:color="000000"/>
              <w:right w:val="single" w:sz="4" w:space="0" w:color="auto"/>
            </w:tcBorders>
            <w:shd w:val="clear" w:color="auto" w:fill="auto"/>
            <w:noWrap/>
            <w:vAlign w:val="bottom"/>
            <w:hideMark/>
          </w:tcPr>
          <w:p w:rsidR="00C16D7C" w:rsidRPr="00C16D7C" w:rsidRDefault="00C16D7C" w:rsidP="00C16D7C">
            <w:pPr>
              <w:spacing w:after="0" w:line="240" w:lineRule="auto"/>
              <w:jc w:val="center"/>
              <w:rPr>
                <w:color w:val="000000"/>
              </w:rPr>
            </w:pPr>
            <w:r w:rsidRPr="00C16D7C">
              <w:rPr>
                <w:color w:val="000000"/>
              </w:rPr>
              <w:t> </w:t>
            </w:r>
          </w:p>
        </w:tc>
        <w:tc>
          <w:tcPr>
            <w:tcW w:w="1960" w:type="dxa"/>
            <w:gridSpan w:val="4"/>
            <w:tcBorders>
              <w:top w:val="single" w:sz="4" w:space="0" w:color="auto"/>
              <w:left w:val="nil"/>
              <w:bottom w:val="single" w:sz="4" w:space="0" w:color="auto"/>
              <w:right w:val="nil"/>
            </w:tcBorders>
            <w:shd w:val="clear" w:color="000000" w:fill="FFE699"/>
            <w:vAlign w:val="center"/>
            <w:hideMark/>
          </w:tcPr>
          <w:p w:rsidR="00C16D7C" w:rsidRPr="00C16D7C" w:rsidRDefault="00C16D7C" w:rsidP="00C16D7C">
            <w:pPr>
              <w:spacing w:after="0" w:line="240" w:lineRule="auto"/>
              <w:jc w:val="center"/>
              <w:rPr>
                <w:b/>
                <w:bCs/>
                <w:i/>
                <w:iCs/>
                <w:color w:val="000000"/>
              </w:rPr>
            </w:pPr>
            <w:r w:rsidRPr="00C16D7C">
              <w:rPr>
                <w:b/>
                <w:bCs/>
                <w:i/>
                <w:iCs/>
                <w:color w:val="000000"/>
              </w:rPr>
              <w:t>Past 4 Terms</w:t>
            </w:r>
          </w:p>
        </w:tc>
        <w:tc>
          <w:tcPr>
            <w:tcW w:w="1743" w:type="dxa"/>
            <w:gridSpan w:val="4"/>
            <w:tcBorders>
              <w:top w:val="single" w:sz="4" w:space="0" w:color="auto"/>
              <w:left w:val="nil"/>
              <w:bottom w:val="single" w:sz="4" w:space="0" w:color="auto"/>
              <w:right w:val="nil"/>
            </w:tcBorders>
            <w:shd w:val="clear" w:color="000000" w:fill="B4C6E7"/>
            <w:vAlign w:val="center"/>
            <w:hideMark/>
          </w:tcPr>
          <w:p w:rsidR="00C16D7C" w:rsidRPr="00C16D7C" w:rsidRDefault="00C16D7C" w:rsidP="00C16D7C">
            <w:pPr>
              <w:spacing w:after="0" w:line="240" w:lineRule="auto"/>
              <w:jc w:val="center"/>
              <w:rPr>
                <w:b/>
                <w:bCs/>
                <w:i/>
                <w:iCs/>
                <w:color w:val="000000"/>
              </w:rPr>
            </w:pPr>
            <w:r w:rsidRPr="00C16D7C">
              <w:rPr>
                <w:b/>
                <w:bCs/>
                <w:i/>
                <w:iCs/>
                <w:color w:val="000000"/>
              </w:rPr>
              <w:t>Past 3 Terms</w:t>
            </w:r>
          </w:p>
        </w:tc>
        <w:tc>
          <w:tcPr>
            <w:tcW w:w="1665" w:type="dxa"/>
            <w:gridSpan w:val="4"/>
            <w:tcBorders>
              <w:top w:val="single" w:sz="4" w:space="0" w:color="auto"/>
              <w:left w:val="nil"/>
              <w:bottom w:val="single" w:sz="4" w:space="0" w:color="auto"/>
              <w:right w:val="nil"/>
            </w:tcBorders>
            <w:shd w:val="clear" w:color="000000" w:fill="C6E0B4"/>
            <w:vAlign w:val="center"/>
            <w:hideMark/>
          </w:tcPr>
          <w:p w:rsidR="00C16D7C" w:rsidRPr="00C16D7C" w:rsidRDefault="00C16D7C" w:rsidP="00C16D7C">
            <w:pPr>
              <w:spacing w:after="0" w:line="240" w:lineRule="auto"/>
              <w:jc w:val="center"/>
              <w:rPr>
                <w:b/>
                <w:bCs/>
                <w:i/>
                <w:iCs/>
                <w:color w:val="000000"/>
              </w:rPr>
            </w:pPr>
            <w:r w:rsidRPr="00C16D7C">
              <w:rPr>
                <w:b/>
                <w:bCs/>
                <w:i/>
                <w:iCs/>
                <w:color w:val="000000"/>
              </w:rPr>
              <w:t xml:space="preserve">Past 2 Terms </w:t>
            </w:r>
          </w:p>
        </w:tc>
        <w:tc>
          <w:tcPr>
            <w:tcW w:w="1432" w:type="dxa"/>
            <w:gridSpan w:val="2"/>
            <w:tcBorders>
              <w:top w:val="nil"/>
              <w:left w:val="nil"/>
              <w:bottom w:val="single" w:sz="4" w:space="0" w:color="auto"/>
              <w:right w:val="single" w:sz="4" w:space="0" w:color="auto"/>
            </w:tcBorders>
            <w:shd w:val="clear" w:color="000000" w:fill="F8CBAD"/>
            <w:vAlign w:val="center"/>
            <w:hideMark/>
          </w:tcPr>
          <w:p w:rsidR="00C16D7C" w:rsidRPr="00C16D7C" w:rsidRDefault="00C16D7C" w:rsidP="00C16D7C">
            <w:pPr>
              <w:spacing w:after="0" w:line="240" w:lineRule="auto"/>
              <w:jc w:val="center"/>
              <w:rPr>
                <w:b/>
                <w:bCs/>
                <w:i/>
                <w:iCs/>
                <w:color w:val="000000"/>
              </w:rPr>
            </w:pPr>
            <w:r w:rsidRPr="00C16D7C">
              <w:rPr>
                <w:b/>
                <w:bCs/>
                <w:i/>
                <w:iCs/>
                <w:color w:val="000000"/>
              </w:rPr>
              <w:t>Total Sections 2019</w:t>
            </w:r>
          </w:p>
        </w:tc>
      </w:tr>
      <w:tr w:rsidR="00C16D7C" w:rsidRPr="00C16D7C" w:rsidTr="00C16D7C">
        <w:trPr>
          <w:trHeight w:val="300"/>
        </w:trPr>
        <w:tc>
          <w:tcPr>
            <w:tcW w:w="1072" w:type="dxa"/>
            <w:gridSpan w:val="2"/>
            <w:vMerge/>
            <w:tcBorders>
              <w:top w:val="nil"/>
              <w:left w:val="nil"/>
              <w:bottom w:val="single" w:sz="4" w:space="0" w:color="000000"/>
              <w:right w:val="single" w:sz="4" w:space="0" w:color="auto"/>
            </w:tcBorders>
            <w:vAlign w:val="center"/>
            <w:hideMark/>
          </w:tcPr>
          <w:p w:rsidR="00C16D7C" w:rsidRPr="00C16D7C" w:rsidRDefault="00C16D7C" w:rsidP="00C16D7C">
            <w:pPr>
              <w:spacing w:after="0" w:line="240" w:lineRule="auto"/>
              <w:rPr>
                <w:color w:val="000000"/>
              </w:rPr>
            </w:pPr>
          </w:p>
        </w:tc>
        <w:tc>
          <w:tcPr>
            <w:tcW w:w="1000" w:type="dxa"/>
            <w:gridSpan w:val="2"/>
            <w:tcBorders>
              <w:top w:val="nil"/>
              <w:left w:val="nil"/>
              <w:bottom w:val="single" w:sz="4" w:space="0" w:color="auto"/>
              <w:right w:val="single" w:sz="4" w:space="0" w:color="auto"/>
            </w:tcBorders>
            <w:shd w:val="clear" w:color="000000" w:fill="FFF2CC"/>
            <w:vAlign w:val="bottom"/>
            <w:hideMark/>
          </w:tcPr>
          <w:p w:rsidR="00C16D7C" w:rsidRPr="00C16D7C" w:rsidRDefault="00C16D7C" w:rsidP="00C16D7C">
            <w:pPr>
              <w:spacing w:after="0" w:line="240" w:lineRule="auto"/>
              <w:jc w:val="center"/>
              <w:rPr>
                <w:b/>
                <w:bCs/>
                <w:color w:val="000000"/>
              </w:rPr>
            </w:pPr>
            <w:r w:rsidRPr="00C16D7C">
              <w:rPr>
                <w:b/>
                <w:bCs/>
                <w:color w:val="000000"/>
              </w:rPr>
              <w:t xml:space="preserve">Count </w:t>
            </w:r>
          </w:p>
        </w:tc>
        <w:tc>
          <w:tcPr>
            <w:tcW w:w="960" w:type="dxa"/>
            <w:gridSpan w:val="2"/>
            <w:tcBorders>
              <w:top w:val="nil"/>
              <w:left w:val="nil"/>
              <w:bottom w:val="single" w:sz="4" w:space="0" w:color="auto"/>
              <w:right w:val="single" w:sz="4" w:space="0" w:color="auto"/>
            </w:tcBorders>
            <w:shd w:val="clear" w:color="000000" w:fill="FFF2CC"/>
            <w:vAlign w:val="bottom"/>
            <w:hideMark/>
          </w:tcPr>
          <w:p w:rsidR="00C16D7C" w:rsidRPr="00C16D7C" w:rsidRDefault="00C16D7C" w:rsidP="00C16D7C">
            <w:pPr>
              <w:spacing w:after="0" w:line="240" w:lineRule="auto"/>
              <w:jc w:val="center"/>
              <w:rPr>
                <w:b/>
                <w:bCs/>
                <w:color w:val="000000"/>
              </w:rPr>
            </w:pPr>
            <w:r w:rsidRPr="00C16D7C">
              <w:rPr>
                <w:b/>
                <w:bCs/>
                <w:color w:val="000000"/>
              </w:rPr>
              <w:t>%</w:t>
            </w:r>
          </w:p>
        </w:tc>
        <w:tc>
          <w:tcPr>
            <w:tcW w:w="803" w:type="dxa"/>
            <w:gridSpan w:val="2"/>
            <w:tcBorders>
              <w:top w:val="nil"/>
              <w:left w:val="nil"/>
              <w:bottom w:val="single" w:sz="4" w:space="0" w:color="auto"/>
              <w:right w:val="single" w:sz="4" w:space="0" w:color="auto"/>
            </w:tcBorders>
            <w:shd w:val="clear" w:color="000000" w:fill="D9E1F2"/>
            <w:vAlign w:val="bottom"/>
            <w:hideMark/>
          </w:tcPr>
          <w:p w:rsidR="00C16D7C" w:rsidRPr="00C16D7C" w:rsidRDefault="00C16D7C" w:rsidP="00C16D7C">
            <w:pPr>
              <w:spacing w:after="0" w:line="240" w:lineRule="auto"/>
              <w:jc w:val="center"/>
              <w:rPr>
                <w:b/>
                <w:bCs/>
                <w:color w:val="000000"/>
              </w:rPr>
            </w:pPr>
            <w:r w:rsidRPr="00C16D7C">
              <w:rPr>
                <w:b/>
                <w:bCs/>
                <w:color w:val="000000"/>
              </w:rPr>
              <w:t xml:space="preserve">Count </w:t>
            </w:r>
          </w:p>
        </w:tc>
        <w:tc>
          <w:tcPr>
            <w:tcW w:w="940" w:type="dxa"/>
            <w:gridSpan w:val="2"/>
            <w:tcBorders>
              <w:top w:val="nil"/>
              <w:left w:val="nil"/>
              <w:bottom w:val="single" w:sz="4" w:space="0" w:color="auto"/>
              <w:right w:val="single" w:sz="4" w:space="0" w:color="auto"/>
            </w:tcBorders>
            <w:shd w:val="clear" w:color="000000" w:fill="D9E1F2"/>
            <w:vAlign w:val="bottom"/>
            <w:hideMark/>
          </w:tcPr>
          <w:p w:rsidR="00C16D7C" w:rsidRPr="00C16D7C" w:rsidRDefault="00C16D7C" w:rsidP="00C16D7C">
            <w:pPr>
              <w:spacing w:after="0" w:line="240" w:lineRule="auto"/>
              <w:jc w:val="center"/>
              <w:rPr>
                <w:b/>
                <w:bCs/>
                <w:color w:val="000000"/>
              </w:rPr>
            </w:pPr>
            <w:r w:rsidRPr="00C16D7C">
              <w:rPr>
                <w:b/>
                <w:bCs/>
                <w:color w:val="000000"/>
              </w:rPr>
              <w:t>%</w:t>
            </w:r>
          </w:p>
        </w:tc>
        <w:tc>
          <w:tcPr>
            <w:tcW w:w="880" w:type="dxa"/>
            <w:gridSpan w:val="2"/>
            <w:tcBorders>
              <w:top w:val="nil"/>
              <w:left w:val="nil"/>
              <w:bottom w:val="single" w:sz="4" w:space="0" w:color="auto"/>
              <w:right w:val="single" w:sz="4" w:space="0" w:color="auto"/>
            </w:tcBorders>
            <w:shd w:val="clear" w:color="000000" w:fill="E2EFDA"/>
            <w:vAlign w:val="bottom"/>
            <w:hideMark/>
          </w:tcPr>
          <w:p w:rsidR="00C16D7C" w:rsidRPr="00C16D7C" w:rsidRDefault="00C16D7C" w:rsidP="00C16D7C">
            <w:pPr>
              <w:spacing w:after="0" w:line="240" w:lineRule="auto"/>
              <w:jc w:val="center"/>
              <w:rPr>
                <w:b/>
                <w:bCs/>
                <w:color w:val="000000"/>
              </w:rPr>
            </w:pPr>
            <w:r w:rsidRPr="00C16D7C">
              <w:rPr>
                <w:b/>
                <w:bCs/>
                <w:color w:val="000000"/>
              </w:rPr>
              <w:t xml:space="preserve">Count </w:t>
            </w:r>
          </w:p>
        </w:tc>
        <w:tc>
          <w:tcPr>
            <w:tcW w:w="785" w:type="dxa"/>
            <w:gridSpan w:val="2"/>
            <w:tcBorders>
              <w:top w:val="nil"/>
              <w:left w:val="nil"/>
              <w:bottom w:val="single" w:sz="4" w:space="0" w:color="auto"/>
              <w:right w:val="single" w:sz="4" w:space="0" w:color="auto"/>
            </w:tcBorders>
            <w:shd w:val="clear" w:color="000000" w:fill="E2EFDA"/>
            <w:vAlign w:val="bottom"/>
            <w:hideMark/>
          </w:tcPr>
          <w:p w:rsidR="00C16D7C" w:rsidRPr="00C16D7C" w:rsidRDefault="00C16D7C" w:rsidP="00C16D7C">
            <w:pPr>
              <w:spacing w:after="0" w:line="240" w:lineRule="auto"/>
              <w:jc w:val="center"/>
              <w:rPr>
                <w:b/>
                <w:bCs/>
                <w:color w:val="000000"/>
              </w:rPr>
            </w:pPr>
            <w:r w:rsidRPr="00C16D7C">
              <w:rPr>
                <w:b/>
                <w:bCs/>
                <w:color w:val="000000"/>
              </w:rPr>
              <w:t>%</w:t>
            </w:r>
          </w:p>
        </w:tc>
        <w:tc>
          <w:tcPr>
            <w:tcW w:w="1432" w:type="dxa"/>
            <w:gridSpan w:val="2"/>
            <w:tcBorders>
              <w:top w:val="nil"/>
              <w:left w:val="nil"/>
              <w:bottom w:val="single" w:sz="4" w:space="0" w:color="auto"/>
              <w:right w:val="single" w:sz="4" w:space="0" w:color="auto"/>
            </w:tcBorders>
            <w:shd w:val="clear" w:color="000000" w:fill="FCE4D6"/>
            <w:vAlign w:val="center"/>
            <w:hideMark/>
          </w:tcPr>
          <w:p w:rsidR="00C16D7C" w:rsidRPr="00C16D7C" w:rsidRDefault="00C16D7C" w:rsidP="00C16D7C">
            <w:pPr>
              <w:spacing w:after="0" w:line="240" w:lineRule="auto"/>
              <w:jc w:val="center"/>
              <w:rPr>
                <w:b/>
                <w:bCs/>
                <w:color w:val="000000"/>
              </w:rPr>
            </w:pPr>
            <w:r w:rsidRPr="00C16D7C">
              <w:rPr>
                <w:b/>
                <w:bCs/>
                <w:color w:val="000000"/>
              </w:rPr>
              <w:t>Count</w:t>
            </w:r>
          </w:p>
        </w:tc>
      </w:tr>
      <w:tr w:rsidR="00C16D7C" w:rsidRPr="00C16D7C" w:rsidTr="00C16D7C">
        <w:trPr>
          <w:trHeight w:val="300"/>
        </w:trPr>
        <w:tc>
          <w:tcPr>
            <w:tcW w:w="1072" w:type="dxa"/>
            <w:gridSpan w:val="2"/>
            <w:tcBorders>
              <w:top w:val="nil"/>
              <w:left w:val="single" w:sz="4" w:space="0" w:color="auto"/>
              <w:bottom w:val="single" w:sz="4" w:space="0" w:color="auto"/>
              <w:right w:val="single" w:sz="4" w:space="0" w:color="auto"/>
            </w:tcBorders>
            <w:shd w:val="clear" w:color="auto" w:fill="auto"/>
            <w:noWrap/>
            <w:vAlign w:val="bottom"/>
            <w:hideMark/>
          </w:tcPr>
          <w:p w:rsidR="00C16D7C" w:rsidRPr="00C16D7C" w:rsidRDefault="00C16D7C" w:rsidP="00C16D7C">
            <w:pPr>
              <w:spacing w:after="0" w:line="240" w:lineRule="auto"/>
              <w:rPr>
                <w:color w:val="000000"/>
              </w:rPr>
            </w:pPr>
            <w:r w:rsidRPr="00C16D7C">
              <w:rPr>
                <w:color w:val="000000"/>
              </w:rPr>
              <w:t>Fall</w:t>
            </w:r>
          </w:p>
        </w:tc>
        <w:tc>
          <w:tcPr>
            <w:tcW w:w="1000" w:type="dxa"/>
            <w:gridSpan w:val="2"/>
            <w:tcBorders>
              <w:top w:val="nil"/>
              <w:left w:val="nil"/>
              <w:bottom w:val="single" w:sz="4" w:space="0" w:color="auto"/>
              <w:right w:val="single" w:sz="4" w:space="0" w:color="auto"/>
            </w:tcBorders>
            <w:shd w:val="clear" w:color="auto" w:fill="auto"/>
            <w:noWrap/>
            <w:vAlign w:val="bottom"/>
            <w:hideMark/>
          </w:tcPr>
          <w:p w:rsidR="00C16D7C" w:rsidRPr="00C16D7C" w:rsidRDefault="00C16D7C" w:rsidP="00C16D7C">
            <w:pPr>
              <w:spacing w:after="0" w:line="240" w:lineRule="auto"/>
              <w:jc w:val="right"/>
              <w:rPr>
                <w:color w:val="000000"/>
              </w:rPr>
            </w:pPr>
            <w:r w:rsidRPr="00C16D7C">
              <w:rPr>
                <w:color w:val="000000"/>
              </w:rPr>
              <w:t>807</w:t>
            </w:r>
          </w:p>
        </w:tc>
        <w:tc>
          <w:tcPr>
            <w:tcW w:w="960" w:type="dxa"/>
            <w:gridSpan w:val="2"/>
            <w:tcBorders>
              <w:top w:val="nil"/>
              <w:left w:val="nil"/>
              <w:bottom w:val="single" w:sz="4" w:space="0" w:color="auto"/>
              <w:right w:val="single" w:sz="4" w:space="0" w:color="auto"/>
            </w:tcBorders>
            <w:shd w:val="clear" w:color="auto" w:fill="auto"/>
            <w:noWrap/>
            <w:vAlign w:val="bottom"/>
            <w:hideMark/>
          </w:tcPr>
          <w:p w:rsidR="00C16D7C" w:rsidRPr="00C16D7C" w:rsidRDefault="00C16D7C" w:rsidP="00C16D7C">
            <w:pPr>
              <w:spacing w:after="0" w:line="240" w:lineRule="auto"/>
              <w:jc w:val="right"/>
              <w:rPr>
                <w:color w:val="000000"/>
              </w:rPr>
            </w:pPr>
            <w:r w:rsidRPr="00C16D7C">
              <w:rPr>
                <w:color w:val="000000"/>
              </w:rPr>
              <w:t>36.3%</w:t>
            </w:r>
          </w:p>
        </w:tc>
        <w:tc>
          <w:tcPr>
            <w:tcW w:w="803" w:type="dxa"/>
            <w:gridSpan w:val="2"/>
            <w:tcBorders>
              <w:top w:val="nil"/>
              <w:left w:val="nil"/>
              <w:bottom w:val="single" w:sz="4" w:space="0" w:color="auto"/>
              <w:right w:val="single" w:sz="4" w:space="0" w:color="auto"/>
            </w:tcBorders>
            <w:shd w:val="clear" w:color="auto" w:fill="auto"/>
            <w:noWrap/>
            <w:vAlign w:val="bottom"/>
            <w:hideMark/>
          </w:tcPr>
          <w:p w:rsidR="00C16D7C" w:rsidRPr="00C16D7C" w:rsidRDefault="00C16D7C" w:rsidP="00C16D7C">
            <w:pPr>
              <w:spacing w:after="0" w:line="240" w:lineRule="auto"/>
              <w:jc w:val="right"/>
              <w:rPr>
                <w:color w:val="000000"/>
              </w:rPr>
            </w:pPr>
            <w:r w:rsidRPr="00C16D7C">
              <w:rPr>
                <w:color w:val="000000"/>
              </w:rPr>
              <w:t>1114</w:t>
            </w:r>
          </w:p>
        </w:tc>
        <w:tc>
          <w:tcPr>
            <w:tcW w:w="940" w:type="dxa"/>
            <w:gridSpan w:val="2"/>
            <w:tcBorders>
              <w:top w:val="nil"/>
              <w:left w:val="nil"/>
              <w:bottom w:val="single" w:sz="4" w:space="0" w:color="auto"/>
              <w:right w:val="single" w:sz="4" w:space="0" w:color="auto"/>
            </w:tcBorders>
            <w:shd w:val="clear" w:color="auto" w:fill="auto"/>
            <w:noWrap/>
            <w:vAlign w:val="bottom"/>
            <w:hideMark/>
          </w:tcPr>
          <w:p w:rsidR="00C16D7C" w:rsidRPr="00C16D7C" w:rsidRDefault="00C16D7C" w:rsidP="00C16D7C">
            <w:pPr>
              <w:spacing w:after="0" w:line="240" w:lineRule="auto"/>
              <w:jc w:val="right"/>
              <w:rPr>
                <w:color w:val="000000"/>
              </w:rPr>
            </w:pPr>
            <w:r w:rsidRPr="00C16D7C">
              <w:rPr>
                <w:color w:val="000000"/>
              </w:rPr>
              <w:t>50.1%</w:t>
            </w:r>
          </w:p>
        </w:tc>
        <w:tc>
          <w:tcPr>
            <w:tcW w:w="880" w:type="dxa"/>
            <w:gridSpan w:val="2"/>
            <w:tcBorders>
              <w:top w:val="nil"/>
              <w:left w:val="nil"/>
              <w:bottom w:val="single" w:sz="4" w:space="0" w:color="auto"/>
              <w:right w:val="single" w:sz="4" w:space="0" w:color="auto"/>
            </w:tcBorders>
            <w:shd w:val="clear" w:color="auto" w:fill="auto"/>
            <w:noWrap/>
            <w:vAlign w:val="bottom"/>
            <w:hideMark/>
          </w:tcPr>
          <w:p w:rsidR="00C16D7C" w:rsidRPr="00C16D7C" w:rsidRDefault="00C16D7C" w:rsidP="00C16D7C">
            <w:pPr>
              <w:spacing w:after="0" w:line="240" w:lineRule="auto"/>
              <w:jc w:val="right"/>
              <w:rPr>
                <w:color w:val="000000"/>
              </w:rPr>
            </w:pPr>
            <w:r w:rsidRPr="00C16D7C">
              <w:rPr>
                <w:color w:val="000000"/>
              </w:rPr>
              <w:t>1471</w:t>
            </w:r>
          </w:p>
        </w:tc>
        <w:tc>
          <w:tcPr>
            <w:tcW w:w="785" w:type="dxa"/>
            <w:gridSpan w:val="2"/>
            <w:tcBorders>
              <w:top w:val="nil"/>
              <w:left w:val="nil"/>
              <w:bottom w:val="single" w:sz="4" w:space="0" w:color="auto"/>
              <w:right w:val="single" w:sz="4" w:space="0" w:color="auto"/>
            </w:tcBorders>
            <w:shd w:val="clear" w:color="auto" w:fill="auto"/>
            <w:noWrap/>
            <w:vAlign w:val="bottom"/>
            <w:hideMark/>
          </w:tcPr>
          <w:p w:rsidR="00C16D7C" w:rsidRPr="00C16D7C" w:rsidRDefault="00C16D7C" w:rsidP="00C16D7C">
            <w:pPr>
              <w:spacing w:after="0" w:line="240" w:lineRule="auto"/>
              <w:jc w:val="right"/>
              <w:rPr>
                <w:color w:val="000000"/>
              </w:rPr>
            </w:pPr>
            <w:r w:rsidRPr="00C16D7C">
              <w:rPr>
                <w:color w:val="000000"/>
              </w:rPr>
              <w:t>66.2%</w:t>
            </w:r>
          </w:p>
        </w:tc>
        <w:tc>
          <w:tcPr>
            <w:tcW w:w="1432" w:type="dxa"/>
            <w:gridSpan w:val="2"/>
            <w:tcBorders>
              <w:top w:val="nil"/>
              <w:left w:val="nil"/>
              <w:bottom w:val="single" w:sz="4" w:space="0" w:color="auto"/>
              <w:right w:val="single" w:sz="4" w:space="0" w:color="auto"/>
            </w:tcBorders>
            <w:shd w:val="clear" w:color="auto" w:fill="auto"/>
            <w:vAlign w:val="center"/>
            <w:hideMark/>
          </w:tcPr>
          <w:p w:rsidR="00C16D7C" w:rsidRPr="00C16D7C" w:rsidRDefault="00C16D7C" w:rsidP="00C16D7C">
            <w:pPr>
              <w:spacing w:after="0" w:line="240" w:lineRule="auto"/>
              <w:jc w:val="center"/>
              <w:rPr>
                <w:color w:val="000000"/>
              </w:rPr>
            </w:pPr>
            <w:r w:rsidRPr="00C16D7C">
              <w:rPr>
                <w:color w:val="000000"/>
              </w:rPr>
              <w:t>2223</w:t>
            </w:r>
          </w:p>
        </w:tc>
      </w:tr>
      <w:tr w:rsidR="00C16D7C" w:rsidRPr="00C16D7C" w:rsidTr="00C16D7C">
        <w:trPr>
          <w:trHeight w:val="300"/>
        </w:trPr>
        <w:tc>
          <w:tcPr>
            <w:tcW w:w="1072" w:type="dxa"/>
            <w:gridSpan w:val="2"/>
            <w:tcBorders>
              <w:top w:val="nil"/>
              <w:left w:val="single" w:sz="4" w:space="0" w:color="auto"/>
              <w:bottom w:val="single" w:sz="4" w:space="0" w:color="auto"/>
              <w:right w:val="single" w:sz="4" w:space="0" w:color="auto"/>
            </w:tcBorders>
            <w:shd w:val="clear" w:color="000000" w:fill="D6DCE4"/>
            <w:noWrap/>
            <w:vAlign w:val="bottom"/>
            <w:hideMark/>
          </w:tcPr>
          <w:p w:rsidR="00C16D7C" w:rsidRPr="00C16D7C" w:rsidRDefault="00C16D7C" w:rsidP="00C16D7C">
            <w:pPr>
              <w:spacing w:after="0" w:line="240" w:lineRule="auto"/>
              <w:rPr>
                <w:color w:val="000000"/>
              </w:rPr>
            </w:pPr>
            <w:r w:rsidRPr="00C16D7C">
              <w:rPr>
                <w:color w:val="000000"/>
              </w:rPr>
              <w:t>Spring</w:t>
            </w:r>
          </w:p>
        </w:tc>
        <w:tc>
          <w:tcPr>
            <w:tcW w:w="1000" w:type="dxa"/>
            <w:gridSpan w:val="2"/>
            <w:tcBorders>
              <w:top w:val="nil"/>
              <w:left w:val="nil"/>
              <w:bottom w:val="single" w:sz="4" w:space="0" w:color="auto"/>
              <w:right w:val="single" w:sz="4" w:space="0" w:color="auto"/>
            </w:tcBorders>
            <w:shd w:val="clear" w:color="000000" w:fill="D6DCE4"/>
            <w:noWrap/>
            <w:vAlign w:val="bottom"/>
            <w:hideMark/>
          </w:tcPr>
          <w:p w:rsidR="00C16D7C" w:rsidRPr="00C16D7C" w:rsidRDefault="00C16D7C" w:rsidP="00C16D7C">
            <w:pPr>
              <w:spacing w:after="0" w:line="240" w:lineRule="auto"/>
              <w:jc w:val="right"/>
              <w:rPr>
                <w:color w:val="000000"/>
              </w:rPr>
            </w:pPr>
            <w:r w:rsidRPr="00C16D7C">
              <w:rPr>
                <w:color w:val="000000"/>
              </w:rPr>
              <w:t>786</w:t>
            </w:r>
          </w:p>
        </w:tc>
        <w:tc>
          <w:tcPr>
            <w:tcW w:w="960" w:type="dxa"/>
            <w:gridSpan w:val="2"/>
            <w:tcBorders>
              <w:top w:val="nil"/>
              <w:left w:val="nil"/>
              <w:bottom w:val="single" w:sz="4" w:space="0" w:color="auto"/>
              <w:right w:val="single" w:sz="4" w:space="0" w:color="auto"/>
            </w:tcBorders>
            <w:shd w:val="clear" w:color="000000" w:fill="D6DCE4"/>
            <w:noWrap/>
            <w:vAlign w:val="bottom"/>
            <w:hideMark/>
          </w:tcPr>
          <w:p w:rsidR="00C16D7C" w:rsidRPr="00C16D7C" w:rsidRDefault="00C16D7C" w:rsidP="00C16D7C">
            <w:pPr>
              <w:spacing w:after="0" w:line="240" w:lineRule="auto"/>
              <w:jc w:val="right"/>
              <w:rPr>
                <w:color w:val="000000"/>
              </w:rPr>
            </w:pPr>
            <w:r w:rsidRPr="00C16D7C">
              <w:rPr>
                <w:color w:val="000000"/>
              </w:rPr>
              <w:t>35.9%</w:t>
            </w:r>
          </w:p>
        </w:tc>
        <w:tc>
          <w:tcPr>
            <w:tcW w:w="803" w:type="dxa"/>
            <w:gridSpan w:val="2"/>
            <w:tcBorders>
              <w:top w:val="nil"/>
              <w:left w:val="nil"/>
              <w:bottom w:val="single" w:sz="4" w:space="0" w:color="auto"/>
              <w:right w:val="single" w:sz="4" w:space="0" w:color="auto"/>
            </w:tcBorders>
            <w:shd w:val="clear" w:color="000000" w:fill="D6DCE4"/>
            <w:noWrap/>
            <w:vAlign w:val="bottom"/>
            <w:hideMark/>
          </w:tcPr>
          <w:p w:rsidR="00C16D7C" w:rsidRPr="00C16D7C" w:rsidRDefault="00C16D7C" w:rsidP="00C16D7C">
            <w:pPr>
              <w:spacing w:after="0" w:line="240" w:lineRule="auto"/>
              <w:jc w:val="right"/>
              <w:rPr>
                <w:color w:val="000000"/>
              </w:rPr>
            </w:pPr>
            <w:r w:rsidRPr="00C16D7C">
              <w:rPr>
                <w:color w:val="000000"/>
              </w:rPr>
              <w:t>1094</w:t>
            </w:r>
          </w:p>
        </w:tc>
        <w:tc>
          <w:tcPr>
            <w:tcW w:w="940" w:type="dxa"/>
            <w:gridSpan w:val="2"/>
            <w:tcBorders>
              <w:top w:val="nil"/>
              <w:left w:val="nil"/>
              <w:bottom w:val="single" w:sz="4" w:space="0" w:color="auto"/>
              <w:right w:val="single" w:sz="4" w:space="0" w:color="auto"/>
            </w:tcBorders>
            <w:shd w:val="clear" w:color="000000" w:fill="D6DCE4"/>
            <w:noWrap/>
            <w:vAlign w:val="bottom"/>
            <w:hideMark/>
          </w:tcPr>
          <w:p w:rsidR="00C16D7C" w:rsidRPr="00C16D7C" w:rsidRDefault="00C16D7C" w:rsidP="00C16D7C">
            <w:pPr>
              <w:spacing w:after="0" w:line="240" w:lineRule="auto"/>
              <w:jc w:val="right"/>
              <w:rPr>
                <w:color w:val="000000"/>
              </w:rPr>
            </w:pPr>
            <w:r w:rsidRPr="00C16D7C">
              <w:rPr>
                <w:color w:val="000000"/>
              </w:rPr>
              <w:t>49.9%</w:t>
            </w:r>
          </w:p>
        </w:tc>
        <w:tc>
          <w:tcPr>
            <w:tcW w:w="880" w:type="dxa"/>
            <w:gridSpan w:val="2"/>
            <w:tcBorders>
              <w:top w:val="nil"/>
              <w:left w:val="nil"/>
              <w:bottom w:val="single" w:sz="4" w:space="0" w:color="auto"/>
              <w:right w:val="single" w:sz="4" w:space="0" w:color="auto"/>
            </w:tcBorders>
            <w:shd w:val="clear" w:color="000000" w:fill="D6DCE4"/>
            <w:noWrap/>
            <w:vAlign w:val="bottom"/>
            <w:hideMark/>
          </w:tcPr>
          <w:p w:rsidR="00C16D7C" w:rsidRPr="00C16D7C" w:rsidRDefault="00C16D7C" w:rsidP="00C16D7C">
            <w:pPr>
              <w:spacing w:after="0" w:line="240" w:lineRule="auto"/>
              <w:jc w:val="right"/>
              <w:rPr>
                <w:color w:val="000000"/>
              </w:rPr>
            </w:pPr>
            <w:r w:rsidRPr="00C16D7C">
              <w:rPr>
                <w:color w:val="000000"/>
              </w:rPr>
              <w:t>1454</w:t>
            </w:r>
          </w:p>
        </w:tc>
        <w:tc>
          <w:tcPr>
            <w:tcW w:w="785" w:type="dxa"/>
            <w:gridSpan w:val="2"/>
            <w:tcBorders>
              <w:top w:val="nil"/>
              <w:left w:val="nil"/>
              <w:bottom w:val="single" w:sz="4" w:space="0" w:color="auto"/>
              <w:right w:val="single" w:sz="4" w:space="0" w:color="auto"/>
            </w:tcBorders>
            <w:shd w:val="clear" w:color="000000" w:fill="D6DCE4"/>
            <w:noWrap/>
            <w:vAlign w:val="bottom"/>
            <w:hideMark/>
          </w:tcPr>
          <w:p w:rsidR="00C16D7C" w:rsidRPr="00C16D7C" w:rsidRDefault="00C16D7C" w:rsidP="00C16D7C">
            <w:pPr>
              <w:spacing w:after="0" w:line="240" w:lineRule="auto"/>
              <w:jc w:val="right"/>
              <w:rPr>
                <w:color w:val="000000"/>
              </w:rPr>
            </w:pPr>
            <w:r w:rsidRPr="00C16D7C">
              <w:rPr>
                <w:color w:val="000000"/>
              </w:rPr>
              <w:t>66.4%</w:t>
            </w:r>
          </w:p>
        </w:tc>
        <w:tc>
          <w:tcPr>
            <w:tcW w:w="1432" w:type="dxa"/>
            <w:gridSpan w:val="2"/>
            <w:tcBorders>
              <w:top w:val="nil"/>
              <w:left w:val="nil"/>
              <w:bottom w:val="single" w:sz="4" w:space="0" w:color="auto"/>
              <w:right w:val="single" w:sz="4" w:space="0" w:color="auto"/>
            </w:tcBorders>
            <w:shd w:val="clear" w:color="000000" w:fill="D6DCE4"/>
            <w:vAlign w:val="center"/>
            <w:hideMark/>
          </w:tcPr>
          <w:p w:rsidR="00C16D7C" w:rsidRPr="00C16D7C" w:rsidRDefault="00C16D7C" w:rsidP="00C16D7C">
            <w:pPr>
              <w:spacing w:after="0" w:line="240" w:lineRule="auto"/>
              <w:jc w:val="center"/>
              <w:rPr>
                <w:color w:val="000000"/>
              </w:rPr>
            </w:pPr>
            <w:r w:rsidRPr="00C16D7C">
              <w:rPr>
                <w:color w:val="000000"/>
              </w:rPr>
              <w:t>2191</w:t>
            </w:r>
          </w:p>
        </w:tc>
      </w:tr>
      <w:tr w:rsidR="00C16D7C" w:rsidRPr="00C16D7C" w:rsidTr="00C16D7C">
        <w:trPr>
          <w:trHeight w:val="300"/>
        </w:trPr>
        <w:tc>
          <w:tcPr>
            <w:tcW w:w="1072" w:type="dxa"/>
            <w:gridSpan w:val="2"/>
            <w:tcBorders>
              <w:top w:val="nil"/>
              <w:left w:val="single" w:sz="4" w:space="0" w:color="auto"/>
              <w:bottom w:val="single" w:sz="4" w:space="0" w:color="auto"/>
              <w:right w:val="single" w:sz="4" w:space="0" w:color="auto"/>
            </w:tcBorders>
            <w:shd w:val="clear" w:color="auto" w:fill="auto"/>
            <w:noWrap/>
            <w:vAlign w:val="bottom"/>
            <w:hideMark/>
          </w:tcPr>
          <w:p w:rsidR="00C16D7C" w:rsidRPr="00C16D7C" w:rsidRDefault="00C16D7C" w:rsidP="00C16D7C">
            <w:pPr>
              <w:spacing w:after="0" w:line="240" w:lineRule="auto"/>
              <w:rPr>
                <w:color w:val="000000"/>
              </w:rPr>
            </w:pPr>
            <w:r w:rsidRPr="00C16D7C">
              <w:rPr>
                <w:color w:val="000000"/>
              </w:rPr>
              <w:t>Summer*</w:t>
            </w:r>
          </w:p>
        </w:tc>
        <w:tc>
          <w:tcPr>
            <w:tcW w:w="1000" w:type="dxa"/>
            <w:gridSpan w:val="2"/>
            <w:tcBorders>
              <w:top w:val="nil"/>
              <w:left w:val="nil"/>
              <w:bottom w:val="single" w:sz="4" w:space="0" w:color="auto"/>
              <w:right w:val="single" w:sz="4" w:space="0" w:color="auto"/>
            </w:tcBorders>
            <w:shd w:val="clear" w:color="auto" w:fill="auto"/>
            <w:noWrap/>
            <w:vAlign w:val="bottom"/>
            <w:hideMark/>
          </w:tcPr>
          <w:p w:rsidR="00C16D7C" w:rsidRPr="00C16D7C" w:rsidRDefault="00C16D7C" w:rsidP="00C16D7C">
            <w:pPr>
              <w:spacing w:after="0" w:line="240" w:lineRule="auto"/>
              <w:jc w:val="center"/>
              <w:rPr>
                <w:color w:val="000000"/>
              </w:rPr>
            </w:pPr>
            <w:r w:rsidRPr="00C16D7C">
              <w:rPr>
                <w:color w:val="000000"/>
              </w:rPr>
              <w:t>-</w:t>
            </w:r>
          </w:p>
        </w:tc>
        <w:tc>
          <w:tcPr>
            <w:tcW w:w="960" w:type="dxa"/>
            <w:gridSpan w:val="2"/>
            <w:tcBorders>
              <w:top w:val="nil"/>
              <w:left w:val="nil"/>
              <w:bottom w:val="single" w:sz="4" w:space="0" w:color="auto"/>
              <w:right w:val="single" w:sz="4" w:space="0" w:color="auto"/>
            </w:tcBorders>
            <w:shd w:val="clear" w:color="auto" w:fill="auto"/>
            <w:noWrap/>
            <w:vAlign w:val="bottom"/>
            <w:hideMark/>
          </w:tcPr>
          <w:p w:rsidR="00C16D7C" w:rsidRPr="00C16D7C" w:rsidRDefault="00C16D7C" w:rsidP="00C16D7C">
            <w:pPr>
              <w:spacing w:after="0" w:line="240" w:lineRule="auto"/>
              <w:jc w:val="center"/>
              <w:rPr>
                <w:color w:val="000000"/>
              </w:rPr>
            </w:pPr>
            <w:r w:rsidRPr="00C16D7C">
              <w:rPr>
                <w:color w:val="000000"/>
              </w:rPr>
              <w:t>-</w:t>
            </w:r>
          </w:p>
        </w:tc>
        <w:tc>
          <w:tcPr>
            <w:tcW w:w="803" w:type="dxa"/>
            <w:gridSpan w:val="2"/>
            <w:tcBorders>
              <w:top w:val="nil"/>
              <w:left w:val="nil"/>
              <w:bottom w:val="single" w:sz="4" w:space="0" w:color="auto"/>
              <w:right w:val="single" w:sz="4" w:space="0" w:color="auto"/>
            </w:tcBorders>
            <w:shd w:val="clear" w:color="auto" w:fill="auto"/>
            <w:noWrap/>
            <w:vAlign w:val="bottom"/>
            <w:hideMark/>
          </w:tcPr>
          <w:p w:rsidR="00C16D7C" w:rsidRPr="00C16D7C" w:rsidRDefault="00C16D7C" w:rsidP="00C16D7C">
            <w:pPr>
              <w:spacing w:after="0" w:line="240" w:lineRule="auto"/>
              <w:jc w:val="right"/>
              <w:rPr>
                <w:color w:val="000000"/>
              </w:rPr>
            </w:pPr>
            <w:r w:rsidRPr="00C16D7C">
              <w:rPr>
                <w:color w:val="000000"/>
              </w:rPr>
              <w:t>241</w:t>
            </w:r>
          </w:p>
        </w:tc>
        <w:tc>
          <w:tcPr>
            <w:tcW w:w="940" w:type="dxa"/>
            <w:gridSpan w:val="2"/>
            <w:tcBorders>
              <w:top w:val="nil"/>
              <w:left w:val="nil"/>
              <w:bottom w:val="single" w:sz="4" w:space="0" w:color="auto"/>
              <w:right w:val="single" w:sz="4" w:space="0" w:color="auto"/>
            </w:tcBorders>
            <w:shd w:val="clear" w:color="auto" w:fill="auto"/>
            <w:noWrap/>
            <w:vAlign w:val="bottom"/>
            <w:hideMark/>
          </w:tcPr>
          <w:p w:rsidR="00C16D7C" w:rsidRPr="00C16D7C" w:rsidRDefault="00C16D7C" w:rsidP="00C16D7C">
            <w:pPr>
              <w:spacing w:after="0" w:line="240" w:lineRule="auto"/>
              <w:jc w:val="right"/>
              <w:rPr>
                <w:color w:val="000000"/>
              </w:rPr>
            </w:pPr>
            <w:r w:rsidRPr="00C16D7C">
              <w:rPr>
                <w:color w:val="000000"/>
              </w:rPr>
              <w:t>36.0%</w:t>
            </w:r>
          </w:p>
        </w:tc>
        <w:tc>
          <w:tcPr>
            <w:tcW w:w="880" w:type="dxa"/>
            <w:gridSpan w:val="2"/>
            <w:tcBorders>
              <w:top w:val="nil"/>
              <w:left w:val="nil"/>
              <w:bottom w:val="single" w:sz="4" w:space="0" w:color="auto"/>
              <w:right w:val="single" w:sz="4" w:space="0" w:color="auto"/>
            </w:tcBorders>
            <w:shd w:val="clear" w:color="auto" w:fill="auto"/>
            <w:noWrap/>
            <w:vAlign w:val="bottom"/>
            <w:hideMark/>
          </w:tcPr>
          <w:p w:rsidR="00C16D7C" w:rsidRPr="00C16D7C" w:rsidRDefault="00C16D7C" w:rsidP="00C16D7C">
            <w:pPr>
              <w:spacing w:after="0" w:line="240" w:lineRule="auto"/>
              <w:jc w:val="right"/>
              <w:rPr>
                <w:color w:val="000000"/>
              </w:rPr>
            </w:pPr>
            <w:r w:rsidRPr="00C16D7C">
              <w:rPr>
                <w:color w:val="000000"/>
              </w:rPr>
              <w:t>293</w:t>
            </w:r>
          </w:p>
        </w:tc>
        <w:tc>
          <w:tcPr>
            <w:tcW w:w="785" w:type="dxa"/>
            <w:gridSpan w:val="2"/>
            <w:tcBorders>
              <w:top w:val="nil"/>
              <w:left w:val="nil"/>
              <w:bottom w:val="single" w:sz="4" w:space="0" w:color="auto"/>
              <w:right w:val="single" w:sz="4" w:space="0" w:color="auto"/>
            </w:tcBorders>
            <w:shd w:val="clear" w:color="auto" w:fill="auto"/>
            <w:noWrap/>
            <w:vAlign w:val="bottom"/>
            <w:hideMark/>
          </w:tcPr>
          <w:p w:rsidR="00C16D7C" w:rsidRPr="00C16D7C" w:rsidRDefault="00C16D7C" w:rsidP="00C16D7C">
            <w:pPr>
              <w:spacing w:after="0" w:line="240" w:lineRule="auto"/>
              <w:jc w:val="right"/>
              <w:rPr>
                <w:color w:val="000000"/>
              </w:rPr>
            </w:pPr>
            <w:r w:rsidRPr="00C16D7C">
              <w:rPr>
                <w:color w:val="000000"/>
              </w:rPr>
              <w:t>43.8%</w:t>
            </w:r>
          </w:p>
        </w:tc>
        <w:tc>
          <w:tcPr>
            <w:tcW w:w="1432" w:type="dxa"/>
            <w:gridSpan w:val="2"/>
            <w:tcBorders>
              <w:top w:val="nil"/>
              <w:left w:val="nil"/>
              <w:bottom w:val="single" w:sz="4" w:space="0" w:color="auto"/>
              <w:right w:val="single" w:sz="4" w:space="0" w:color="auto"/>
            </w:tcBorders>
            <w:shd w:val="clear" w:color="auto" w:fill="auto"/>
            <w:vAlign w:val="center"/>
            <w:hideMark/>
          </w:tcPr>
          <w:p w:rsidR="00C16D7C" w:rsidRPr="00C16D7C" w:rsidRDefault="00C16D7C" w:rsidP="00C16D7C">
            <w:pPr>
              <w:spacing w:after="0" w:line="240" w:lineRule="auto"/>
              <w:jc w:val="center"/>
              <w:rPr>
                <w:color w:val="000000"/>
              </w:rPr>
            </w:pPr>
            <w:r w:rsidRPr="00C16D7C">
              <w:rPr>
                <w:color w:val="000000"/>
              </w:rPr>
              <w:t>669</w:t>
            </w:r>
          </w:p>
        </w:tc>
      </w:tr>
      <w:tr w:rsidR="00C16D7C" w:rsidRPr="00C16D7C" w:rsidTr="00C16D7C">
        <w:trPr>
          <w:trHeight w:val="300"/>
        </w:trPr>
        <w:tc>
          <w:tcPr>
            <w:tcW w:w="7872" w:type="dxa"/>
            <w:gridSpan w:val="16"/>
            <w:tcBorders>
              <w:top w:val="single" w:sz="4" w:space="0" w:color="auto"/>
              <w:left w:val="nil"/>
              <w:bottom w:val="nil"/>
              <w:right w:val="nil"/>
            </w:tcBorders>
            <w:shd w:val="clear" w:color="auto" w:fill="auto"/>
            <w:noWrap/>
            <w:vAlign w:val="bottom"/>
            <w:hideMark/>
          </w:tcPr>
          <w:p w:rsidR="00C16D7C" w:rsidRPr="00C16D7C" w:rsidRDefault="00C16D7C" w:rsidP="00C16D7C">
            <w:pPr>
              <w:spacing w:after="0" w:line="240" w:lineRule="auto"/>
              <w:rPr>
                <w:color w:val="000000"/>
              </w:rPr>
            </w:pPr>
            <w:r w:rsidRPr="00C16D7C">
              <w:rPr>
                <w:color w:val="000000"/>
              </w:rPr>
              <w:t xml:space="preserve">*Data missing for Summer 2016 comparison </w:t>
            </w:r>
          </w:p>
        </w:tc>
      </w:tr>
      <w:tr w:rsidR="00C16D7C" w:rsidRPr="00C16D7C" w:rsidTr="00C16D7C">
        <w:trPr>
          <w:gridAfter w:val="1"/>
          <w:wAfter w:w="112" w:type="dxa"/>
          <w:trHeight w:val="300"/>
        </w:trPr>
        <w:tc>
          <w:tcPr>
            <w:tcW w:w="960" w:type="dxa"/>
            <w:tcBorders>
              <w:top w:val="nil"/>
              <w:left w:val="nil"/>
              <w:bottom w:val="nil"/>
              <w:right w:val="nil"/>
            </w:tcBorders>
            <w:shd w:val="clear" w:color="auto" w:fill="auto"/>
            <w:noWrap/>
            <w:vAlign w:val="bottom"/>
            <w:hideMark/>
          </w:tcPr>
          <w:p w:rsidR="00C16D7C" w:rsidRPr="00C16D7C" w:rsidRDefault="00C16D7C" w:rsidP="00C16D7C">
            <w:pPr>
              <w:spacing w:after="0" w:line="240" w:lineRule="auto"/>
              <w:rPr>
                <w:sz w:val="24"/>
                <w:szCs w:val="24"/>
              </w:rPr>
            </w:pPr>
          </w:p>
        </w:tc>
        <w:tc>
          <w:tcPr>
            <w:tcW w:w="6800" w:type="dxa"/>
            <w:gridSpan w:val="14"/>
            <w:tcBorders>
              <w:top w:val="nil"/>
              <w:left w:val="nil"/>
              <w:bottom w:val="single" w:sz="4" w:space="0" w:color="auto"/>
              <w:right w:val="nil"/>
            </w:tcBorders>
            <w:shd w:val="clear" w:color="auto" w:fill="auto"/>
            <w:noWrap/>
            <w:vAlign w:val="bottom"/>
            <w:hideMark/>
          </w:tcPr>
          <w:p w:rsidR="00C16D7C" w:rsidRPr="00C16D7C" w:rsidRDefault="00C16D7C" w:rsidP="00C16D7C">
            <w:pPr>
              <w:spacing w:after="0" w:line="240" w:lineRule="auto"/>
              <w:jc w:val="center"/>
              <w:rPr>
                <w:b/>
                <w:bCs/>
                <w:color w:val="000000"/>
              </w:rPr>
            </w:pPr>
            <w:r w:rsidRPr="00C16D7C">
              <w:rPr>
                <w:b/>
                <w:bCs/>
                <w:color w:val="000000"/>
              </w:rPr>
              <w:t>Natomas</w:t>
            </w:r>
          </w:p>
        </w:tc>
      </w:tr>
      <w:tr w:rsidR="00C16D7C" w:rsidRPr="00C16D7C" w:rsidTr="00C16D7C">
        <w:trPr>
          <w:gridAfter w:val="1"/>
          <w:wAfter w:w="112" w:type="dxa"/>
          <w:trHeight w:val="600"/>
        </w:trPr>
        <w:tc>
          <w:tcPr>
            <w:tcW w:w="960" w:type="dxa"/>
            <w:vMerge w:val="restart"/>
            <w:tcBorders>
              <w:top w:val="nil"/>
              <w:left w:val="nil"/>
              <w:bottom w:val="single" w:sz="4" w:space="0" w:color="000000"/>
              <w:right w:val="single" w:sz="4" w:space="0" w:color="auto"/>
            </w:tcBorders>
            <w:shd w:val="clear" w:color="auto" w:fill="auto"/>
            <w:noWrap/>
            <w:vAlign w:val="bottom"/>
            <w:hideMark/>
          </w:tcPr>
          <w:p w:rsidR="00C16D7C" w:rsidRPr="00C16D7C" w:rsidRDefault="00C16D7C" w:rsidP="00C16D7C">
            <w:pPr>
              <w:spacing w:after="0" w:line="240" w:lineRule="auto"/>
              <w:jc w:val="center"/>
              <w:rPr>
                <w:color w:val="000000"/>
              </w:rPr>
            </w:pPr>
            <w:r w:rsidRPr="00C16D7C">
              <w:rPr>
                <w:color w:val="000000"/>
              </w:rPr>
              <w:t> </w:t>
            </w:r>
          </w:p>
        </w:tc>
        <w:tc>
          <w:tcPr>
            <w:tcW w:w="1960" w:type="dxa"/>
            <w:gridSpan w:val="4"/>
            <w:tcBorders>
              <w:top w:val="single" w:sz="4" w:space="0" w:color="auto"/>
              <w:left w:val="nil"/>
              <w:bottom w:val="single" w:sz="4" w:space="0" w:color="auto"/>
              <w:right w:val="nil"/>
            </w:tcBorders>
            <w:shd w:val="clear" w:color="000000" w:fill="FFE699"/>
            <w:vAlign w:val="center"/>
            <w:hideMark/>
          </w:tcPr>
          <w:p w:rsidR="00C16D7C" w:rsidRPr="00C16D7C" w:rsidRDefault="00C16D7C" w:rsidP="00C16D7C">
            <w:pPr>
              <w:spacing w:after="0" w:line="240" w:lineRule="auto"/>
              <w:jc w:val="center"/>
              <w:rPr>
                <w:b/>
                <w:bCs/>
                <w:i/>
                <w:iCs/>
                <w:color w:val="000000"/>
              </w:rPr>
            </w:pPr>
            <w:r w:rsidRPr="00C16D7C">
              <w:rPr>
                <w:b/>
                <w:bCs/>
                <w:i/>
                <w:iCs/>
                <w:color w:val="000000"/>
              </w:rPr>
              <w:t>Past 4 Terms</w:t>
            </w:r>
          </w:p>
        </w:tc>
        <w:tc>
          <w:tcPr>
            <w:tcW w:w="1720" w:type="dxa"/>
            <w:gridSpan w:val="4"/>
            <w:tcBorders>
              <w:top w:val="single" w:sz="4" w:space="0" w:color="auto"/>
              <w:left w:val="nil"/>
              <w:bottom w:val="single" w:sz="4" w:space="0" w:color="auto"/>
              <w:right w:val="nil"/>
            </w:tcBorders>
            <w:shd w:val="clear" w:color="000000" w:fill="B4C6E7"/>
            <w:vAlign w:val="center"/>
            <w:hideMark/>
          </w:tcPr>
          <w:p w:rsidR="00C16D7C" w:rsidRPr="00C16D7C" w:rsidRDefault="00C16D7C" w:rsidP="00C16D7C">
            <w:pPr>
              <w:spacing w:after="0" w:line="240" w:lineRule="auto"/>
              <w:jc w:val="center"/>
              <w:rPr>
                <w:b/>
                <w:bCs/>
                <w:i/>
                <w:iCs/>
                <w:color w:val="000000"/>
              </w:rPr>
            </w:pPr>
            <w:r w:rsidRPr="00C16D7C">
              <w:rPr>
                <w:b/>
                <w:bCs/>
                <w:i/>
                <w:iCs/>
                <w:color w:val="000000"/>
              </w:rPr>
              <w:t>Past 3 Terms</w:t>
            </w:r>
          </w:p>
        </w:tc>
        <w:tc>
          <w:tcPr>
            <w:tcW w:w="1640" w:type="dxa"/>
            <w:gridSpan w:val="4"/>
            <w:tcBorders>
              <w:top w:val="single" w:sz="4" w:space="0" w:color="auto"/>
              <w:left w:val="nil"/>
              <w:bottom w:val="single" w:sz="4" w:space="0" w:color="auto"/>
              <w:right w:val="nil"/>
            </w:tcBorders>
            <w:shd w:val="clear" w:color="000000" w:fill="C6E0B4"/>
            <w:vAlign w:val="center"/>
            <w:hideMark/>
          </w:tcPr>
          <w:p w:rsidR="00C16D7C" w:rsidRPr="00C16D7C" w:rsidRDefault="00C16D7C" w:rsidP="00C16D7C">
            <w:pPr>
              <w:spacing w:after="0" w:line="240" w:lineRule="auto"/>
              <w:jc w:val="center"/>
              <w:rPr>
                <w:b/>
                <w:bCs/>
                <w:i/>
                <w:iCs/>
                <w:color w:val="000000"/>
              </w:rPr>
            </w:pPr>
            <w:r w:rsidRPr="00C16D7C">
              <w:rPr>
                <w:b/>
                <w:bCs/>
                <w:i/>
                <w:iCs/>
                <w:color w:val="000000"/>
              </w:rPr>
              <w:t xml:space="preserve">Past 2 Terms </w:t>
            </w:r>
          </w:p>
        </w:tc>
        <w:tc>
          <w:tcPr>
            <w:tcW w:w="1480" w:type="dxa"/>
            <w:gridSpan w:val="2"/>
            <w:tcBorders>
              <w:top w:val="nil"/>
              <w:left w:val="nil"/>
              <w:bottom w:val="single" w:sz="4" w:space="0" w:color="auto"/>
              <w:right w:val="single" w:sz="4" w:space="0" w:color="auto"/>
            </w:tcBorders>
            <w:shd w:val="clear" w:color="000000" w:fill="F8CBAD"/>
            <w:vAlign w:val="center"/>
            <w:hideMark/>
          </w:tcPr>
          <w:p w:rsidR="00C16D7C" w:rsidRPr="00C16D7C" w:rsidRDefault="00C16D7C" w:rsidP="00C16D7C">
            <w:pPr>
              <w:spacing w:after="0" w:line="240" w:lineRule="auto"/>
              <w:jc w:val="center"/>
              <w:rPr>
                <w:b/>
                <w:bCs/>
                <w:i/>
                <w:iCs/>
                <w:color w:val="000000"/>
              </w:rPr>
            </w:pPr>
            <w:r w:rsidRPr="00C16D7C">
              <w:rPr>
                <w:b/>
                <w:bCs/>
                <w:i/>
                <w:iCs/>
                <w:color w:val="000000"/>
              </w:rPr>
              <w:t>Total Sections 2019</w:t>
            </w:r>
          </w:p>
        </w:tc>
      </w:tr>
      <w:tr w:rsidR="00C16D7C" w:rsidRPr="00C16D7C" w:rsidTr="00C16D7C">
        <w:trPr>
          <w:gridAfter w:val="1"/>
          <w:wAfter w:w="112" w:type="dxa"/>
          <w:trHeight w:val="300"/>
        </w:trPr>
        <w:tc>
          <w:tcPr>
            <w:tcW w:w="960" w:type="dxa"/>
            <w:vMerge/>
            <w:tcBorders>
              <w:top w:val="nil"/>
              <w:left w:val="nil"/>
              <w:bottom w:val="single" w:sz="4" w:space="0" w:color="000000"/>
              <w:right w:val="single" w:sz="4" w:space="0" w:color="auto"/>
            </w:tcBorders>
            <w:vAlign w:val="center"/>
            <w:hideMark/>
          </w:tcPr>
          <w:p w:rsidR="00C16D7C" w:rsidRPr="00C16D7C" w:rsidRDefault="00C16D7C" w:rsidP="00C16D7C">
            <w:pPr>
              <w:spacing w:after="0" w:line="240" w:lineRule="auto"/>
              <w:rPr>
                <w:color w:val="000000"/>
              </w:rPr>
            </w:pPr>
          </w:p>
        </w:tc>
        <w:tc>
          <w:tcPr>
            <w:tcW w:w="1000" w:type="dxa"/>
            <w:gridSpan w:val="2"/>
            <w:tcBorders>
              <w:top w:val="nil"/>
              <w:left w:val="nil"/>
              <w:bottom w:val="single" w:sz="4" w:space="0" w:color="auto"/>
              <w:right w:val="single" w:sz="4" w:space="0" w:color="auto"/>
            </w:tcBorders>
            <w:shd w:val="clear" w:color="000000" w:fill="FFF2CC"/>
            <w:vAlign w:val="bottom"/>
            <w:hideMark/>
          </w:tcPr>
          <w:p w:rsidR="00C16D7C" w:rsidRPr="00C16D7C" w:rsidRDefault="00C16D7C" w:rsidP="00C16D7C">
            <w:pPr>
              <w:spacing w:after="0" w:line="240" w:lineRule="auto"/>
              <w:jc w:val="center"/>
              <w:rPr>
                <w:b/>
                <w:bCs/>
                <w:color w:val="000000"/>
              </w:rPr>
            </w:pPr>
            <w:r w:rsidRPr="00C16D7C">
              <w:rPr>
                <w:b/>
                <w:bCs/>
                <w:color w:val="000000"/>
              </w:rPr>
              <w:t xml:space="preserve">Count </w:t>
            </w:r>
          </w:p>
        </w:tc>
        <w:tc>
          <w:tcPr>
            <w:tcW w:w="960" w:type="dxa"/>
            <w:gridSpan w:val="2"/>
            <w:tcBorders>
              <w:top w:val="nil"/>
              <w:left w:val="nil"/>
              <w:bottom w:val="single" w:sz="4" w:space="0" w:color="auto"/>
              <w:right w:val="single" w:sz="4" w:space="0" w:color="auto"/>
            </w:tcBorders>
            <w:shd w:val="clear" w:color="000000" w:fill="FFF2CC"/>
            <w:vAlign w:val="bottom"/>
            <w:hideMark/>
          </w:tcPr>
          <w:p w:rsidR="00C16D7C" w:rsidRPr="00C16D7C" w:rsidRDefault="00C16D7C" w:rsidP="00C16D7C">
            <w:pPr>
              <w:spacing w:after="0" w:line="240" w:lineRule="auto"/>
              <w:jc w:val="center"/>
              <w:rPr>
                <w:b/>
                <w:bCs/>
                <w:color w:val="000000"/>
              </w:rPr>
            </w:pPr>
            <w:r w:rsidRPr="00C16D7C">
              <w:rPr>
                <w:b/>
                <w:bCs/>
                <w:color w:val="000000"/>
              </w:rPr>
              <w:t>%</w:t>
            </w:r>
          </w:p>
        </w:tc>
        <w:tc>
          <w:tcPr>
            <w:tcW w:w="780" w:type="dxa"/>
            <w:gridSpan w:val="2"/>
            <w:tcBorders>
              <w:top w:val="nil"/>
              <w:left w:val="nil"/>
              <w:bottom w:val="single" w:sz="4" w:space="0" w:color="auto"/>
              <w:right w:val="single" w:sz="4" w:space="0" w:color="auto"/>
            </w:tcBorders>
            <w:shd w:val="clear" w:color="000000" w:fill="D9E1F2"/>
            <w:vAlign w:val="bottom"/>
            <w:hideMark/>
          </w:tcPr>
          <w:p w:rsidR="00C16D7C" w:rsidRPr="00C16D7C" w:rsidRDefault="00C16D7C" w:rsidP="00C16D7C">
            <w:pPr>
              <w:spacing w:after="0" w:line="240" w:lineRule="auto"/>
              <w:jc w:val="center"/>
              <w:rPr>
                <w:b/>
                <w:bCs/>
                <w:color w:val="000000"/>
              </w:rPr>
            </w:pPr>
            <w:r w:rsidRPr="00C16D7C">
              <w:rPr>
                <w:b/>
                <w:bCs/>
                <w:color w:val="000000"/>
              </w:rPr>
              <w:t xml:space="preserve">Count </w:t>
            </w:r>
          </w:p>
        </w:tc>
        <w:tc>
          <w:tcPr>
            <w:tcW w:w="940" w:type="dxa"/>
            <w:gridSpan w:val="2"/>
            <w:tcBorders>
              <w:top w:val="nil"/>
              <w:left w:val="nil"/>
              <w:bottom w:val="single" w:sz="4" w:space="0" w:color="auto"/>
              <w:right w:val="single" w:sz="4" w:space="0" w:color="auto"/>
            </w:tcBorders>
            <w:shd w:val="clear" w:color="000000" w:fill="D9E1F2"/>
            <w:vAlign w:val="bottom"/>
            <w:hideMark/>
          </w:tcPr>
          <w:p w:rsidR="00C16D7C" w:rsidRPr="00C16D7C" w:rsidRDefault="00C16D7C" w:rsidP="00C16D7C">
            <w:pPr>
              <w:spacing w:after="0" w:line="240" w:lineRule="auto"/>
              <w:jc w:val="center"/>
              <w:rPr>
                <w:b/>
                <w:bCs/>
                <w:color w:val="000000"/>
              </w:rPr>
            </w:pPr>
            <w:r w:rsidRPr="00C16D7C">
              <w:rPr>
                <w:b/>
                <w:bCs/>
                <w:color w:val="000000"/>
              </w:rPr>
              <w:t>%</w:t>
            </w:r>
          </w:p>
        </w:tc>
        <w:tc>
          <w:tcPr>
            <w:tcW w:w="880" w:type="dxa"/>
            <w:gridSpan w:val="2"/>
            <w:tcBorders>
              <w:top w:val="nil"/>
              <w:left w:val="nil"/>
              <w:bottom w:val="single" w:sz="4" w:space="0" w:color="auto"/>
              <w:right w:val="single" w:sz="4" w:space="0" w:color="auto"/>
            </w:tcBorders>
            <w:shd w:val="clear" w:color="000000" w:fill="E2EFDA"/>
            <w:vAlign w:val="bottom"/>
            <w:hideMark/>
          </w:tcPr>
          <w:p w:rsidR="00C16D7C" w:rsidRPr="00C16D7C" w:rsidRDefault="00C16D7C" w:rsidP="00C16D7C">
            <w:pPr>
              <w:spacing w:after="0" w:line="240" w:lineRule="auto"/>
              <w:jc w:val="center"/>
              <w:rPr>
                <w:b/>
                <w:bCs/>
                <w:color w:val="000000"/>
              </w:rPr>
            </w:pPr>
            <w:r w:rsidRPr="00C16D7C">
              <w:rPr>
                <w:b/>
                <w:bCs/>
                <w:color w:val="000000"/>
              </w:rPr>
              <w:t xml:space="preserve">Count </w:t>
            </w:r>
          </w:p>
        </w:tc>
        <w:tc>
          <w:tcPr>
            <w:tcW w:w="760" w:type="dxa"/>
            <w:gridSpan w:val="2"/>
            <w:tcBorders>
              <w:top w:val="nil"/>
              <w:left w:val="nil"/>
              <w:bottom w:val="single" w:sz="4" w:space="0" w:color="auto"/>
              <w:right w:val="single" w:sz="4" w:space="0" w:color="auto"/>
            </w:tcBorders>
            <w:shd w:val="clear" w:color="000000" w:fill="E2EFDA"/>
            <w:vAlign w:val="bottom"/>
            <w:hideMark/>
          </w:tcPr>
          <w:p w:rsidR="00C16D7C" w:rsidRPr="00C16D7C" w:rsidRDefault="00C16D7C" w:rsidP="00C16D7C">
            <w:pPr>
              <w:spacing w:after="0" w:line="240" w:lineRule="auto"/>
              <w:jc w:val="center"/>
              <w:rPr>
                <w:b/>
                <w:bCs/>
                <w:color w:val="000000"/>
              </w:rPr>
            </w:pPr>
            <w:r w:rsidRPr="00C16D7C">
              <w:rPr>
                <w:b/>
                <w:bCs/>
                <w:color w:val="000000"/>
              </w:rPr>
              <w:t>%</w:t>
            </w:r>
          </w:p>
        </w:tc>
        <w:tc>
          <w:tcPr>
            <w:tcW w:w="1480" w:type="dxa"/>
            <w:gridSpan w:val="2"/>
            <w:tcBorders>
              <w:top w:val="nil"/>
              <w:left w:val="nil"/>
              <w:bottom w:val="single" w:sz="4" w:space="0" w:color="auto"/>
              <w:right w:val="single" w:sz="4" w:space="0" w:color="auto"/>
            </w:tcBorders>
            <w:shd w:val="clear" w:color="000000" w:fill="FCE4D6"/>
            <w:vAlign w:val="center"/>
            <w:hideMark/>
          </w:tcPr>
          <w:p w:rsidR="00C16D7C" w:rsidRPr="00C16D7C" w:rsidRDefault="00C16D7C" w:rsidP="00C16D7C">
            <w:pPr>
              <w:spacing w:after="0" w:line="240" w:lineRule="auto"/>
              <w:jc w:val="center"/>
              <w:rPr>
                <w:b/>
                <w:bCs/>
                <w:color w:val="000000"/>
              </w:rPr>
            </w:pPr>
            <w:r w:rsidRPr="00C16D7C">
              <w:rPr>
                <w:b/>
                <w:bCs/>
                <w:color w:val="000000"/>
              </w:rPr>
              <w:t>Count</w:t>
            </w:r>
          </w:p>
        </w:tc>
      </w:tr>
      <w:tr w:rsidR="00C16D7C" w:rsidRPr="00C16D7C" w:rsidTr="00C16D7C">
        <w:trPr>
          <w:gridAfter w:val="1"/>
          <w:wAfter w:w="112" w:type="dxa"/>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16D7C" w:rsidRPr="00C16D7C" w:rsidRDefault="00C16D7C" w:rsidP="00C16D7C">
            <w:pPr>
              <w:spacing w:after="0" w:line="240" w:lineRule="auto"/>
              <w:rPr>
                <w:color w:val="000000"/>
              </w:rPr>
            </w:pPr>
            <w:r w:rsidRPr="00C16D7C">
              <w:rPr>
                <w:color w:val="000000"/>
              </w:rPr>
              <w:t>Fall</w:t>
            </w:r>
          </w:p>
        </w:tc>
        <w:tc>
          <w:tcPr>
            <w:tcW w:w="1000" w:type="dxa"/>
            <w:gridSpan w:val="2"/>
            <w:tcBorders>
              <w:top w:val="nil"/>
              <w:left w:val="nil"/>
              <w:bottom w:val="single" w:sz="4" w:space="0" w:color="auto"/>
              <w:right w:val="single" w:sz="4" w:space="0" w:color="auto"/>
            </w:tcBorders>
            <w:shd w:val="clear" w:color="auto" w:fill="auto"/>
            <w:noWrap/>
            <w:vAlign w:val="bottom"/>
            <w:hideMark/>
          </w:tcPr>
          <w:p w:rsidR="00C16D7C" w:rsidRPr="00C16D7C" w:rsidRDefault="00C16D7C" w:rsidP="00C16D7C">
            <w:pPr>
              <w:spacing w:after="0" w:line="240" w:lineRule="auto"/>
              <w:jc w:val="right"/>
              <w:rPr>
                <w:color w:val="000000"/>
              </w:rPr>
            </w:pPr>
            <w:r w:rsidRPr="00C16D7C">
              <w:rPr>
                <w:color w:val="000000"/>
              </w:rPr>
              <w:t>58</w:t>
            </w:r>
          </w:p>
        </w:tc>
        <w:tc>
          <w:tcPr>
            <w:tcW w:w="960" w:type="dxa"/>
            <w:gridSpan w:val="2"/>
            <w:tcBorders>
              <w:top w:val="nil"/>
              <w:left w:val="nil"/>
              <w:bottom w:val="single" w:sz="4" w:space="0" w:color="auto"/>
              <w:right w:val="single" w:sz="4" w:space="0" w:color="auto"/>
            </w:tcBorders>
            <w:shd w:val="clear" w:color="auto" w:fill="auto"/>
            <w:noWrap/>
            <w:vAlign w:val="bottom"/>
            <w:hideMark/>
          </w:tcPr>
          <w:p w:rsidR="00C16D7C" w:rsidRPr="00C16D7C" w:rsidRDefault="00C16D7C" w:rsidP="00C16D7C">
            <w:pPr>
              <w:spacing w:after="0" w:line="240" w:lineRule="auto"/>
              <w:jc w:val="right"/>
              <w:rPr>
                <w:color w:val="000000"/>
              </w:rPr>
            </w:pPr>
            <w:r w:rsidRPr="00C16D7C">
              <w:rPr>
                <w:color w:val="000000"/>
              </w:rPr>
              <w:t>30.5%</w:t>
            </w:r>
          </w:p>
        </w:tc>
        <w:tc>
          <w:tcPr>
            <w:tcW w:w="780" w:type="dxa"/>
            <w:gridSpan w:val="2"/>
            <w:tcBorders>
              <w:top w:val="nil"/>
              <w:left w:val="nil"/>
              <w:bottom w:val="single" w:sz="4" w:space="0" w:color="auto"/>
              <w:right w:val="single" w:sz="4" w:space="0" w:color="auto"/>
            </w:tcBorders>
            <w:shd w:val="clear" w:color="auto" w:fill="auto"/>
            <w:noWrap/>
            <w:vAlign w:val="bottom"/>
            <w:hideMark/>
          </w:tcPr>
          <w:p w:rsidR="00C16D7C" w:rsidRPr="00C16D7C" w:rsidRDefault="00C16D7C" w:rsidP="00C16D7C">
            <w:pPr>
              <w:spacing w:after="0" w:line="240" w:lineRule="auto"/>
              <w:jc w:val="right"/>
              <w:rPr>
                <w:color w:val="000000"/>
              </w:rPr>
            </w:pPr>
            <w:r w:rsidRPr="00C16D7C">
              <w:rPr>
                <w:color w:val="000000"/>
              </w:rPr>
              <w:t>90</w:t>
            </w:r>
          </w:p>
        </w:tc>
        <w:tc>
          <w:tcPr>
            <w:tcW w:w="940" w:type="dxa"/>
            <w:gridSpan w:val="2"/>
            <w:tcBorders>
              <w:top w:val="nil"/>
              <w:left w:val="nil"/>
              <w:bottom w:val="single" w:sz="4" w:space="0" w:color="auto"/>
              <w:right w:val="single" w:sz="4" w:space="0" w:color="auto"/>
            </w:tcBorders>
            <w:shd w:val="clear" w:color="auto" w:fill="auto"/>
            <w:noWrap/>
            <w:vAlign w:val="bottom"/>
            <w:hideMark/>
          </w:tcPr>
          <w:p w:rsidR="00C16D7C" w:rsidRPr="00C16D7C" w:rsidRDefault="00C16D7C" w:rsidP="00C16D7C">
            <w:pPr>
              <w:spacing w:after="0" w:line="240" w:lineRule="auto"/>
              <w:jc w:val="right"/>
              <w:rPr>
                <w:color w:val="000000"/>
              </w:rPr>
            </w:pPr>
            <w:r w:rsidRPr="00C16D7C">
              <w:rPr>
                <w:color w:val="000000"/>
              </w:rPr>
              <w:t>47.4%</w:t>
            </w:r>
          </w:p>
        </w:tc>
        <w:tc>
          <w:tcPr>
            <w:tcW w:w="880" w:type="dxa"/>
            <w:gridSpan w:val="2"/>
            <w:tcBorders>
              <w:top w:val="nil"/>
              <w:left w:val="nil"/>
              <w:bottom w:val="single" w:sz="4" w:space="0" w:color="auto"/>
              <w:right w:val="single" w:sz="4" w:space="0" w:color="auto"/>
            </w:tcBorders>
            <w:shd w:val="clear" w:color="auto" w:fill="auto"/>
            <w:noWrap/>
            <w:vAlign w:val="bottom"/>
            <w:hideMark/>
          </w:tcPr>
          <w:p w:rsidR="00C16D7C" w:rsidRPr="00C16D7C" w:rsidRDefault="00C16D7C" w:rsidP="00C16D7C">
            <w:pPr>
              <w:spacing w:after="0" w:line="240" w:lineRule="auto"/>
              <w:jc w:val="right"/>
              <w:rPr>
                <w:color w:val="000000"/>
              </w:rPr>
            </w:pPr>
            <w:r w:rsidRPr="00C16D7C">
              <w:rPr>
                <w:color w:val="000000"/>
              </w:rPr>
              <w:t>131</w:t>
            </w:r>
          </w:p>
        </w:tc>
        <w:tc>
          <w:tcPr>
            <w:tcW w:w="760" w:type="dxa"/>
            <w:gridSpan w:val="2"/>
            <w:tcBorders>
              <w:top w:val="nil"/>
              <w:left w:val="nil"/>
              <w:bottom w:val="single" w:sz="4" w:space="0" w:color="auto"/>
              <w:right w:val="single" w:sz="4" w:space="0" w:color="auto"/>
            </w:tcBorders>
            <w:shd w:val="clear" w:color="auto" w:fill="auto"/>
            <w:noWrap/>
            <w:vAlign w:val="bottom"/>
            <w:hideMark/>
          </w:tcPr>
          <w:p w:rsidR="00C16D7C" w:rsidRPr="00C16D7C" w:rsidRDefault="00C16D7C" w:rsidP="00C16D7C">
            <w:pPr>
              <w:spacing w:after="0" w:line="240" w:lineRule="auto"/>
              <w:jc w:val="right"/>
              <w:rPr>
                <w:color w:val="000000"/>
              </w:rPr>
            </w:pPr>
            <w:r w:rsidRPr="00C16D7C">
              <w:rPr>
                <w:color w:val="000000"/>
              </w:rPr>
              <w:t>68.9%</w:t>
            </w:r>
          </w:p>
        </w:tc>
        <w:tc>
          <w:tcPr>
            <w:tcW w:w="1480" w:type="dxa"/>
            <w:gridSpan w:val="2"/>
            <w:tcBorders>
              <w:top w:val="nil"/>
              <w:left w:val="nil"/>
              <w:bottom w:val="single" w:sz="4" w:space="0" w:color="auto"/>
              <w:right w:val="single" w:sz="4" w:space="0" w:color="auto"/>
            </w:tcBorders>
            <w:shd w:val="clear" w:color="auto" w:fill="auto"/>
            <w:vAlign w:val="center"/>
            <w:hideMark/>
          </w:tcPr>
          <w:p w:rsidR="00C16D7C" w:rsidRPr="00C16D7C" w:rsidRDefault="00C16D7C" w:rsidP="00C16D7C">
            <w:pPr>
              <w:spacing w:after="0" w:line="240" w:lineRule="auto"/>
              <w:jc w:val="center"/>
              <w:rPr>
                <w:color w:val="000000"/>
              </w:rPr>
            </w:pPr>
            <w:r w:rsidRPr="00C16D7C">
              <w:rPr>
                <w:color w:val="000000"/>
              </w:rPr>
              <w:t>190</w:t>
            </w:r>
          </w:p>
        </w:tc>
      </w:tr>
      <w:tr w:rsidR="00C16D7C" w:rsidRPr="00C16D7C" w:rsidTr="00C16D7C">
        <w:trPr>
          <w:gridAfter w:val="1"/>
          <w:wAfter w:w="112" w:type="dxa"/>
          <w:trHeight w:val="300"/>
        </w:trPr>
        <w:tc>
          <w:tcPr>
            <w:tcW w:w="960" w:type="dxa"/>
            <w:tcBorders>
              <w:top w:val="nil"/>
              <w:left w:val="single" w:sz="4" w:space="0" w:color="auto"/>
              <w:bottom w:val="single" w:sz="4" w:space="0" w:color="auto"/>
              <w:right w:val="single" w:sz="4" w:space="0" w:color="auto"/>
            </w:tcBorders>
            <w:shd w:val="clear" w:color="000000" w:fill="D6DCE4"/>
            <w:noWrap/>
            <w:vAlign w:val="bottom"/>
            <w:hideMark/>
          </w:tcPr>
          <w:p w:rsidR="00C16D7C" w:rsidRPr="00C16D7C" w:rsidRDefault="00C16D7C" w:rsidP="00C16D7C">
            <w:pPr>
              <w:spacing w:after="0" w:line="240" w:lineRule="auto"/>
              <w:rPr>
                <w:color w:val="000000"/>
              </w:rPr>
            </w:pPr>
            <w:r w:rsidRPr="00C16D7C">
              <w:rPr>
                <w:color w:val="000000"/>
              </w:rPr>
              <w:t>Spring</w:t>
            </w:r>
          </w:p>
        </w:tc>
        <w:tc>
          <w:tcPr>
            <w:tcW w:w="1000" w:type="dxa"/>
            <w:gridSpan w:val="2"/>
            <w:tcBorders>
              <w:top w:val="nil"/>
              <w:left w:val="nil"/>
              <w:bottom w:val="single" w:sz="4" w:space="0" w:color="auto"/>
              <w:right w:val="single" w:sz="4" w:space="0" w:color="auto"/>
            </w:tcBorders>
            <w:shd w:val="clear" w:color="000000" w:fill="D6DCE4"/>
            <w:noWrap/>
            <w:vAlign w:val="bottom"/>
            <w:hideMark/>
          </w:tcPr>
          <w:p w:rsidR="00C16D7C" w:rsidRPr="00C16D7C" w:rsidRDefault="00C16D7C" w:rsidP="00C16D7C">
            <w:pPr>
              <w:spacing w:after="0" w:line="240" w:lineRule="auto"/>
              <w:jc w:val="right"/>
              <w:rPr>
                <w:color w:val="000000"/>
              </w:rPr>
            </w:pPr>
            <w:r w:rsidRPr="00C16D7C">
              <w:rPr>
                <w:color w:val="000000"/>
              </w:rPr>
              <w:t>37</w:t>
            </w:r>
          </w:p>
        </w:tc>
        <w:tc>
          <w:tcPr>
            <w:tcW w:w="960" w:type="dxa"/>
            <w:gridSpan w:val="2"/>
            <w:tcBorders>
              <w:top w:val="nil"/>
              <w:left w:val="nil"/>
              <w:bottom w:val="single" w:sz="4" w:space="0" w:color="auto"/>
              <w:right w:val="single" w:sz="4" w:space="0" w:color="auto"/>
            </w:tcBorders>
            <w:shd w:val="clear" w:color="000000" w:fill="D6DCE4"/>
            <w:noWrap/>
            <w:vAlign w:val="bottom"/>
            <w:hideMark/>
          </w:tcPr>
          <w:p w:rsidR="00C16D7C" w:rsidRPr="00C16D7C" w:rsidRDefault="00C16D7C" w:rsidP="00C16D7C">
            <w:pPr>
              <w:spacing w:after="0" w:line="240" w:lineRule="auto"/>
              <w:jc w:val="right"/>
              <w:rPr>
                <w:color w:val="000000"/>
              </w:rPr>
            </w:pPr>
            <w:r w:rsidRPr="00C16D7C">
              <w:rPr>
                <w:color w:val="000000"/>
              </w:rPr>
              <w:t>19.4%</w:t>
            </w:r>
          </w:p>
        </w:tc>
        <w:tc>
          <w:tcPr>
            <w:tcW w:w="780" w:type="dxa"/>
            <w:gridSpan w:val="2"/>
            <w:tcBorders>
              <w:top w:val="nil"/>
              <w:left w:val="nil"/>
              <w:bottom w:val="single" w:sz="4" w:space="0" w:color="auto"/>
              <w:right w:val="single" w:sz="4" w:space="0" w:color="auto"/>
            </w:tcBorders>
            <w:shd w:val="clear" w:color="000000" w:fill="D6DCE4"/>
            <w:noWrap/>
            <w:vAlign w:val="bottom"/>
            <w:hideMark/>
          </w:tcPr>
          <w:p w:rsidR="00C16D7C" w:rsidRPr="00C16D7C" w:rsidRDefault="00C16D7C" w:rsidP="00C16D7C">
            <w:pPr>
              <w:spacing w:after="0" w:line="240" w:lineRule="auto"/>
              <w:jc w:val="right"/>
              <w:rPr>
                <w:color w:val="000000"/>
              </w:rPr>
            </w:pPr>
            <w:r w:rsidRPr="00C16D7C">
              <w:rPr>
                <w:color w:val="000000"/>
              </w:rPr>
              <w:t>73</w:t>
            </w:r>
          </w:p>
        </w:tc>
        <w:tc>
          <w:tcPr>
            <w:tcW w:w="940" w:type="dxa"/>
            <w:gridSpan w:val="2"/>
            <w:tcBorders>
              <w:top w:val="nil"/>
              <w:left w:val="nil"/>
              <w:bottom w:val="single" w:sz="4" w:space="0" w:color="auto"/>
              <w:right w:val="single" w:sz="4" w:space="0" w:color="auto"/>
            </w:tcBorders>
            <w:shd w:val="clear" w:color="000000" w:fill="D6DCE4"/>
            <w:noWrap/>
            <w:vAlign w:val="bottom"/>
            <w:hideMark/>
          </w:tcPr>
          <w:p w:rsidR="00C16D7C" w:rsidRPr="00C16D7C" w:rsidRDefault="00C16D7C" w:rsidP="00C16D7C">
            <w:pPr>
              <w:spacing w:after="0" w:line="240" w:lineRule="auto"/>
              <w:jc w:val="right"/>
              <w:rPr>
                <w:color w:val="000000"/>
              </w:rPr>
            </w:pPr>
            <w:r w:rsidRPr="00C16D7C">
              <w:rPr>
                <w:color w:val="000000"/>
              </w:rPr>
              <w:t>38.2%</w:t>
            </w:r>
          </w:p>
        </w:tc>
        <w:tc>
          <w:tcPr>
            <w:tcW w:w="880" w:type="dxa"/>
            <w:gridSpan w:val="2"/>
            <w:tcBorders>
              <w:top w:val="nil"/>
              <w:left w:val="nil"/>
              <w:bottom w:val="single" w:sz="4" w:space="0" w:color="auto"/>
              <w:right w:val="single" w:sz="4" w:space="0" w:color="auto"/>
            </w:tcBorders>
            <w:shd w:val="clear" w:color="000000" w:fill="D6DCE4"/>
            <w:noWrap/>
            <w:vAlign w:val="bottom"/>
            <w:hideMark/>
          </w:tcPr>
          <w:p w:rsidR="00C16D7C" w:rsidRPr="00C16D7C" w:rsidRDefault="00C16D7C" w:rsidP="00C16D7C">
            <w:pPr>
              <w:spacing w:after="0" w:line="240" w:lineRule="auto"/>
              <w:jc w:val="right"/>
              <w:rPr>
                <w:color w:val="000000"/>
              </w:rPr>
            </w:pPr>
            <w:r w:rsidRPr="00C16D7C">
              <w:rPr>
                <w:color w:val="000000"/>
              </w:rPr>
              <w:t>103</w:t>
            </w:r>
          </w:p>
        </w:tc>
        <w:tc>
          <w:tcPr>
            <w:tcW w:w="760" w:type="dxa"/>
            <w:gridSpan w:val="2"/>
            <w:tcBorders>
              <w:top w:val="nil"/>
              <w:left w:val="nil"/>
              <w:bottom w:val="single" w:sz="4" w:space="0" w:color="auto"/>
              <w:right w:val="single" w:sz="4" w:space="0" w:color="auto"/>
            </w:tcBorders>
            <w:shd w:val="clear" w:color="auto" w:fill="auto"/>
            <w:noWrap/>
            <w:vAlign w:val="bottom"/>
            <w:hideMark/>
          </w:tcPr>
          <w:p w:rsidR="00C16D7C" w:rsidRPr="00C16D7C" w:rsidRDefault="00C16D7C" w:rsidP="00C16D7C">
            <w:pPr>
              <w:spacing w:after="0" w:line="240" w:lineRule="auto"/>
              <w:jc w:val="right"/>
              <w:rPr>
                <w:color w:val="000000"/>
              </w:rPr>
            </w:pPr>
            <w:r w:rsidRPr="00C16D7C">
              <w:rPr>
                <w:color w:val="000000"/>
              </w:rPr>
              <w:t>53.9%</w:t>
            </w:r>
          </w:p>
        </w:tc>
        <w:tc>
          <w:tcPr>
            <w:tcW w:w="1480" w:type="dxa"/>
            <w:gridSpan w:val="2"/>
            <w:tcBorders>
              <w:top w:val="nil"/>
              <w:left w:val="nil"/>
              <w:bottom w:val="single" w:sz="4" w:space="0" w:color="auto"/>
              <w:right w:val="single" w:sz="4" w:space="0" w:color="auto"/>
            </w:tcBorders>
            <w:shd w:val="clear" w:color="000000" w:fill="D6DCE4"/>
            <w:vAlign w:val="center"/>
            <w:hideMark/>
          </w:tcPr>
          <w:p w:rsidR="00C16D7C" w:rsidRPr="00C16D7C" w:rsidRDefault="00C16D7C" w:rsidP="00C16D7C">
            <w:pPr>
              <w:spacing w:after="0" w:line="240" w:lineRule="auto"/>
              <w:jc w:val="center"/>
              <w:rPr>
                <w:color w:val="000000"/>
              </w:rPr>
            </w:pPr>
            <w:r w:rsidRPr="00C16D7C">
              <w:rPr>
                <w:color w:val="000000"/>
              </w:rPr>
              <w:t>191</w:t>
            </w:r>
          </w:p>
        </w:tc>
      </w:tr>
      <w:tr w:rsidR="00C16D7C" w:rsidRPr="00C16D7C" w:rsidTr="00C16D7C">
        <w:trPr>
          <w:gridAfter w:val="1"/>
          <w:wAfter w:w="112" w:type="dxa"/>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16D7C" w:rsidRPr="00C16D7C" w:rsidRDefault="00C16D7C" w:rsidP="00C16D7C">
            <w:pPr>
              <w:spacing w:after="0" w:line="240" w:lineRule="auto"/>
              <w:rPr>
                <w:color w:val="000000"/>
              </w:rPr>
            </w:pPr>
            <w:r w:rsidRPr="00C16D7C">
              <w:rPr>
                <w:color w:val="000000"/>
              </w:rPr>
              <w:t>Summer*</w:t>
            </w:r>
          </w:p>
        </w:tc>
        <w:tc>
          <w:tcPr>
            <w:tcW w:w="1000" w:type="dxa"/>
            <w:gridSpan w:val="2"/>
            <w:tcBorders>
              <w:top w:val="nil"/>
              <w:left w:val="nil"/>
              <w:bottom w:val="single" w:sz="4" w:space="0" w:color="auto"/>
              <w:right w:val="single" w:sz="4" w:space="0" w:color="auto"/>
            </w:tcBorders>
            <w:shd w:val="clear" w:color="auto" w:fill="auto"/>
            <w:noWrap/>
            <w:vAlign w:val="bottom"/>
            <w:hideMark/>
          </w:tcPr>
          <w:p w:rsidR="00C16D7C" w:rsidRPr="00C16D7C" w:rsidRDefault="00C16D7C" w:rsidP="00C16D7C">
            <w:pPr>
              <w:spacing w:after="0" w:line="240" w:lineRule="auto"/>
              <w:jc w:val="center"/>
              <w:rPr>
                <w:color w:val="000000"/>
              </w:rPr>
            </w:pPr>
            <w:r w:rsidRPr="00C16D7C">
              <w:rPr>
                <w:color w:val="000000"/>
              </w:rPr>
              <w:t>-</w:t>
            </w:r>
          </w:p>
        </w:tc>
        <w:tc>
          <w:tcPr>
            <w:tcW w:w="960" w:type="dxa"/>
            <w:gridSpan w:val="2"/>
            <w:tcBorders>
              <w:top w:val="nil"/>
              <w:left w:val="nil"/>
              <w:bottom w:val="single" w:sz="4" w:space="0" w:color="auto"/>
              <w:right w:val="single" w:sz="4" w:space="0" w:color="auto"/>
            </w:tcBorders>
            <w:shd w:val="clear" w:color="auto" w:fill="auto"/>
            <w:noWrap/>
            <w:vAlign w:val="bottom"/>
            <w:hideMark/>
          </w:tcPr>
          <w:p w:rsidR="00C16D7C" w:rsidRPr="00C16D7C" w:rsidRDefault="00C16D7C" w:rsidP="00C16D7C">
            <w:pPr>
              <w:spacing w:after="0" w:line="240" w:lineRule="auto"/>
              <w:jc w:val="center"/>
              <w:rPr>
                <w:color w:val="000000"/>
              </w:rPr>
            </w:pPr>
            <w:r w:rsidRPr="00C16D7C">
              <w:rPr>
                <w:color w:val="000000"/>
              </w:rPr>
              <w:t>-</w:t>
            </w:r>
          </w:p>
        </w:tc>
        <w:tc>
          <w:tcPr>
            <w:tcW w:w="780" w:type="dxa"/>
            <w:gridSpan w:val="2"/>
            <w:tcBorders>
              <w:top w:val="nil"/>
              <w:left w:val="nil"/>
              <w:bottom w:val="single" w:sz="4" w:space="0" w:color="auto"/>
              <w:right w:val="single" w:sz="4" w:space="0" w:color="auto"/>
            </w:tcBorders>
            <w:shd w:val="clear" w:color="auto" w:fill="auto"/>
            <w:noWrap/>
            <w:vAlign w:val="bottom"/>
            <w:hideMark/>
          </w:tcPr>
          <w:p w:rsidR="00C16D7C" w:rsidRPr="00C16D7C" w:rsidRDefault="00C16D7C" w:rsidP="00C16D7C">
            <w:pPr>
              <w:spacing w:after="0" w:line="240" w:lineRule="auto"/>
              <w:jc w:val="right"/>
              <w:rPr>
                <w:color w:val="000000"/>
              </w:rPr>
            </w:pPr>
            <w:r w:rsidRPr="00C16D7C">
              <w:rPr>
                <w:color w:val="000000"/>
              </w:rPr>
              <w:t>17</w:t>
            </w:r>
          </w:p>
        </w:tc>
        <w:tc>
          <w:tcPr>
            <w:tcW w:w="940" w:type="dxa"/>
            <w:gridSpan w:val="2"/>
            <w:tcBorders>
              <w:top w:val="nil"/>
              <w:left w:val="nil"/>
              <w:bottom w:val="single" w:sz="4" w:space="0" w:color="auto"/>
              <w:right w:val="single" w:sz="4" w:space="0" w:color="auto"/>
            </w:tcBorders>
            <w:shd w:val="clear" w:color="auto" w:fill="auto"/>
            <w:noWrap/>
            <w:vAlign w:val="bottom"/>
            <w:hideMark/>
          </w:tcPr>
          <w:p w:rsidR="00C16D7C" w:rsidRPr="00C16D7C" w:rsidRDefault="00C16D7C" w:rsidP="00C16D7C">
            <w:pPr>
              <w:spacing w:after="0" w:line="240" w:lineRule="auto"/>
              <w:jc w:val="right"/>
              <w:rPr>
                <w:color w:val="000000"/>
              </w:rPr>
            </w:pPr>
            <w:r w:rsidRPr="00C16D7C">
              <w:rPr>
                <w:color w:val="000000"/>
              </w:rPr>
              <w:t>45.9%</w:t>
            </w:r>
          </w:p>
        </w:tc>
        <w:tc>
          <w:tcPr>
            <w:tcW w:w="880" w:type="dxa"/>
            <w:gridSpan w:val="2"/>
            <w:tcBorders>
              <w:top w:val="nil"/>
              <w:left w:val="nil"/>
              <w:bottom w:val="single" w:sz="4" w:space="0" w:color="auto"/>
              <w:right w:val="single" w:sz="4" w:space="0" w:color="auto"/>
            </w:tcBorders>
            <w:shd w:val="clear" w:color="auto" w:fill="auto"/>
            <w:noWrap/>
            <w:vAlign w:val="bottom"/>
            <w:hideMark/>
          </w:tcPr>
          <w:p w:rsidR="00C16D7C" w:rsidRPr="00C16D7C" w:rsidRDefault="00C16D7C" w:rsidP="00C16D7C">
            <w:pPr>
              <w:spacing w:after="0" w:line="240" w:lineRule="auto"/>
              <w:jc w:val="right"/>
              <w:rPr>
                <w:color w:val="000000"/>
              </w:rPr>
            </w:pPr>
            <w:r w:rsidRPr="00C16D7C">
              <w:rPr>
                <w:color w:val="000000"/>
              </w:rPr>
              <w:t>20</w:t>
            </w:r>
          </w:p>
        </w:tc>
        <w:tc>
          <w:tcPr>
            <w:tcW w:w="760" w:type="dxa"/>
            <w:gridSpan w:val="2"/>
            <w:tcBorders>
              <w:top w:val="nil"/>
              <w:left w:val="nil"/>
              <w:bottom w:val="single" w:sz="4" w:space="0" w:color="auto"/>
              <w:right w:val="single" w:sz="4" w:space="0" w:color="auto"/>
            </w:tcBorders>
            <w:shd w:val="clear" w:color="auto" w:fill="auto"/>
            <w:noWrap/>
            <w:vAlign w:val="bottom"/>
            <w:hideMark/>
          </w:tcPr>
          <w:p w:rsidR="00C16D7C" w:rsidRPr="00C16D7C" w:rsidRDefault="00C16D7C" w:rsidP="00C16D7C">
            <w:pPr>
              <w:spacing w:after="0" w:line="240" w:lineRule="auto"/>
              <w:jc w:val="right"/>
              <w:rPr>
                <w:color w:val="000000"/>
              </w:rPr>
            </w:pPr>
            <w:r w:rsidRPr="00C16D7C">
              <w:rPr>
                <w:color w:val="000000"/>
              </w:rPr>
              <w:t>54.1%</w:t>
            </w:r>
          </w:p>
        </w:tc>
        <w:tc>
          <w:tcPr>
            <w:tcW w:w="1480" w:type="dxa"/>
            <w:gridSpan w:val="2"/>
            <w:tcBorders>
              <w:top w:val="nil"/>
              <w:left w:val="nil"/>
              <w:bottom w:val="single" w:sz="4" w:space="0" w:color="auto"/>
              <w:right w:val="single" w:sz="4" w:space="0" w:color="auto"/>
            </w:tcBorders>
            <w:shd w:val="clear" w:color="auto" w:fill="auto"/>
            <w:vAlign w:val="center"/>
            <w:hideMark/>
          </w:tcPr>
          <w:p w:rsidR="00C16D7C" w:rsidRPr="00C16D7C" w:rsidRDefault="00C16D7C" w:rsidP="00C16D7C">
            <w:pPr>
              <w:spacing w:after="0" w:line="240" w:lineRule="auto"/>
              <w:jc w:val="center"/>
              <w:rPr>
                <w:color w:val="000000"/>
              </w:rPr>
            </w:pPr>
            <w:r w:rsidRPr="00C16D7C">
              <w:rPr>
                <w:color w:val="000000"/>
              </w:rPr>
              <w:t>37</w:t>
            </w:r>
          </w:p>
        </w:tc>
      </w:tr>
      <w:tr w:rsidR="00C16D7C" w:rsidRPr="00C16D7C" w:rsidTr="00C16D7C">
        <w:trPr>
          <w:gridAfter w:val="1"/>
          <w:wAfter w:w="112" w:type="dxa"/>
          <w:trHeight w:val="300"/>
        </w:trPr>
        <w:tc>
          <w:tcPr>
            <w:tcW w:w="7760" w:type="dxa"/>
            <w:gridSpan w:val="15"/>
            <w:tcBorders>
              <w:top w:val="single" w:sz="4" w:space="0" w:color="auto"/>
              <w:left w:val="nil"/>
              <w:bottom w:val="nil"/>
              <w:right w:val="nil"/>
            </w:tcBorders>
            <w:shd w:val="clear" w:color="auto" w:fill="auto"/>
            <w:noWrap/>
            <w:vAlign w:val="bottom"/>
            <w:hideMark/>
          </w:tcPr>
          <w:p w:rsidR="00C16D7C" w:rsidRPr="00C16D7C" w:rsidRDefault="00C16D7C" w:rsidP="00C16D7C">
            <w:pPr>
              <w:spacing w:after="0" w:line="240" w:lineRule="auto"/>
              <w:rPr>
                <w:color w:val="000000"/>
              </w:rPr>
            </w:pPr>
            <w:r w:rsidRPr="00C16D7C">
              <w:rPr>
                <w:color w:val="000000"/>
              </w:rPr>
              <w:t xml:space="preserve">*Data missing for Summer 2016 comparison </w:t>
            </w:r>
          </w:p>
        </w:tc>
      </w:tr>
    </w:tbl>
    <w:p w:rsidR="00025A78" w:rsidRDefault="00C16D7C" w:rsidP="005632EB">
      <w:r>
        <w:t xml:space="preserve">Moving forward, allocations will begin with the approximately 66% of sections which are core to the schedule (i.e. they do not typically change like term to like term). This </w:t>
      </w:r>
      <w:r w:rsidR="005632EB">
        <w:t xml:space="preserve">“core schedule” will provide the foundation for division allocations. Added to this will be the FTEF that has been identified by departments as being necessary for the rotational offerings, those courses which may be offered every other term or on some other pattern to allow for students to complete pathways, degrees, and or certificates. Additional FTEF will be allocated to divisions (beyond the amount needed to support core and rotational offerings) based upon the following </w:t>
      </w:r>
      <w:r w:rsidR="00025A78" w:rsidRPr="005632EB">
        <w:rPr>
          <w:b/>
          <w:i/>
        </w:rPr>
        <w:t>FTEF Allocation Guidelines</w:t>
      </w:r>
      <w:r w:rsidR="005632EB">
        <w:rPr>
          <w:b/>
          <w:i/>
        </w:rPr>
        <w:t>:</w:t>
      </w:r>
      <w:bookmarkStart w:id="1" w:name="_GoBack"/>
      <w:bookmarkEnd w:id="1"/>
    </w:p>
    <w:p w:rsidR="00025A78" w:rsidRDefault="00025A78" w:rsidP="00025A78">
      <w:r w:rsidRPr="00DA0524">
        <w:t>Schedules for each semester shall be planned to accommodate the needs of students, to ensure the quality of education, and to utilize facilities efficiently.</w:t>
      </w:r>
      <w:r>
        <w:t xml:space="preserve"> The Strategic Enrollment Management Team will utilize the following criteria to determine FTEF allocations for divisions. </w:t>
      </w:r>
    </w:p>
    <w:p w:rsidR="00025A78" w:rsidRDefault="00025A78" w:rsidP="00C16D7C">
      <w:pPr>
        <w:pStyle w:val="Heading3"/>
      </w:pPr>
      <w:r>
        <w:lastRenderedPageBreak/>
        <w:t>The semester FTEF allocations must:</w:t>
      </w:r>
    </w:p>
    <w:p w:rsidR="00025A78" w:rsidRDefault="00025A78" w:rsidP="00025A78">
      <w:pPr>
        <w:pStyle w:val="ListParagraph"/>
        <w:numPr>
          <w:ilvl w:val="0"/>
          <w:numId w:val="6"/>
        </w:numPr>
      </w:pPr>
      <w:r>
        <w:t>Provide enough FTEF to meet the contractual obligation to provide load for all full-time faculty.</w:t>
      </w:r>
    </w:p>
    <w:p w:rsidR="00025A78" w:rsidRDefault="00025A78" w:rsidP="00025A78">
      <w:pPr>
        <w:pStyle w:val="ListParagraph"/>
        <w:numPr>
          <w:ilvl w:val="0"/>
          <w:numId w:val="6"/>
        </w:numPr>
      </w:pPr>
      <w:r>
        <w:t xml:space="preserve">Afford the Natomas center the ability to enroll at least 1,000 FTES and maintain its Center Status </w:t>
      </w:r>
      <w:r w:rsidRPr="00431B85">
        <w:t xml:space="preserve">per title 5, </w:t>
      </w:r>
      <w:r>
        <w:t xml:space="preserve">§ </w:t>
      </w:r>
      <w:r w:rsidRPr="00431B85">
        <w:t>58771(</w:t>
      </w:r>
      <w:proofErr w:type="spellStart"/>
      <w:r w:rsidRPr="00431B85">
        <w:t>i</w:t>
      </w:r>
      <w:proofErr w:type="spellEnd"/>
      <w:r w:rsidRPr="00431B85">
        <w:t>) (5)</w:t>
      </w:r>
      <w:r>
        <w:t>.</w:t>
      </w:r>
      <w:r>
        <w:rPr>
          <w:rStyle w:val="FootnoteReference"/>
        </w:rPr>
        <w:footnoteReference w:id="1"/>
      </w:r>
    </w:p>
    <w:p w:rsidR="00025A78" w:rsidRDefault="00025A78" w:rsidP="00025A78">
      <w:pPr>
        <w:pStyle w:val="ListParagraph"/>
        <w:numPr>
          <w:ilvl w:val="0"/>
          <w:numId w:val="6"/>
        </w:numPr>
      </w:pPr>
      <w:r>
        <w:t xml:space="preserve">Take into account legislative, regulation, or other policy changes which may require resources to be adjusted.  </w:t>
      </w:r>
    </w:p>
    <w:p w:rsidR="00025A78" w:rsidRDefault="00025A78" w:rsidP="00025A78">
      <w:pPr>
        <w:pStyle w:val="ListParagraph"/>
        <w:numPr>
          <w:ilvl w:val="0"/>
          <w:numId w:val="6"/>
        </w:numPr>
      </w:pPr>
      <w:r>
        <w:t xml:space="preserve">Be based upon data which indicates a historical five-year, like term-over-term student demand for courses. </w:t>
      </w:r>
      <w:r w:rsidRPr="00431B85">
        <w:rPr>
          <w:i/>
        </w:rPr>
        <w:t>(Note that the historical demand must be tempered with an analysis of the current status of a program. For example, in 2019 a 5-year like term analysis of English and Math department enrollments would not provide much insight due to the changes wrought by AB 705.)</w:t>
      </w:r>
    </w:p>
    <w:p w:rsidR="00025A78" w:rsidRDefault="00025A78" w:rsidP="00025A78">
      <w:pPr>
        <w:pStyle w:val="ListParagraph"/>
        <w:numPr>
          <w:ilvl w:val="0"/>
          <w:numId w:val="6"/>
        </w:numPr>
      </w:pPr>
      <w:r>
        <w:t>Be based on predictive data</w:t>
      </w:r>
      <w:r>
        <w:rPr>
          <w:rStyle w:val="FootnoteReference"/>
        </w:rPr>
        <w:footnoteReference w:id="2"/>
      </w:r>
      <w:r>
        <w:t xml:space="preserve"> which provides an analysis of what students will need to take in order to complete work on degrees, certificates, and college pathways. In particular, FTEF Allocation should be based upon meeting the following institutional interests:</w:t>
      </w:r>
    </w:p>
    <w:p w:rsidR="00025A78" w:rsidRDefault="00025A78" w:rsidP="00025A78">
      <w:pPr>
        <w:pStyle w:val="ListParagraph"/>
        <w:numPr>
          <w:ilvl w:val="1"/>
          <w:numId w:val="6"/>
        </w:numPr>
      </w:pPr>
      <w:r>
        <w:t>College readiness</w:t>
      </w:r>
    </w:p>
    <w:p w:rsidR="00025A78" w:rsidRDefault="00025A78" w:rsidP="00025A78">
      <w:pPr>
        <w:pStyle w:val="ListParagraph"/>
        <w:numPr>
          <w:ilvl w:val="1"/>
          <w:numId w:val="6"/>
        </w:numPr>
      </w:pPr>
      <w:r>
        <w:t>Two-year transfer preparation</w:t>
      </w:r>
    </w:p>
    <w:p w:rsidR="00025A78" w:rsidRDefault="00025A78" w:rsidP="00025A78">
      <w:pPr>
        <w:pStyle w:val="ListParagraph"/>
        <w:numPr>
          <w:ilvl w:val="1"/>
          <w:numId w:val="6"/>
        </w:numPr>
      </w:pPr>
      <w:r>
        <w:t>Associate degrees, particularly TMCs</w:t>
      </w:r>
    </w:p>
    <w:p w:rsidR="00025A78" w:rsidRDefault="00025A78" w:rsidP="00025A78">
      <w:pPr>
        <w:pStyle w:val="ListParagraph"/>
        <w:numPr>
          <w:ilvl w:val="1"/>
          <w:numId w:val="6"/>
        </w:numPr>
      </w:pPr>
      <w:r>
        <w:t>Degrees and certificates that prepare students for professional licensure and certification</w:t>
      </w:r>
    </w:p>
    <w:p w:rsidR="00025A78" w:rsidRDefault="00025A78" w:rsidP="00025A78">
      <w:pPr>
        <w:pStyle w:val="ListParagraph"/>
        <w:numPr>
          <w:ilvl w:val="1"/>
          <w:numId w:val="6"/>
        </w:numPr>
      </w:pPr>
      <w:r>
        <w:t>Certificates which have a demonstrated record of employment</w:t>
      </w:r>
    </w:p>
    <w:p w:rsidR="00025A78" w:rsidRDefault="00025A78" w:rsidP="00025A78">
      <w:pPr>
        <w:pStyle w:val="ListParagraph"/>
        <w:numPr>
          <w:ilvl w:val="1"/>
          <w:numId w:val="6"/>
        </w:numPr>
      </w:pPr>
      <w:r>
        <w:t>Support for visual and performing arts, cultural awareness, wellness, and intercollegiate sports</w:t>
      </w:r>
    </w:p>
    <w:p w:rsidR="00025A78" w:rsidRDefault="00025A78" w:rsidP="00025A78">
      <w:pPr>
        <w:pStyle w:val="Heading3"/>
      </w:pPr>
    </w:p>
    <w:p w:rsidR="00025A78" w:rsidRDefault="00025A78" w:rsidP="00025A78">
      <w:pPr>
        <w:pStyle w:val="Heading3"/>
      </w:pPr>
    </w:p>
    <w:p w:rsidR="00025A78" w:rsidRDefault="00025A78" w:rsidP="00025A78"/>
    <w:p w:rsidR="00025A78" w:rsidRPr="00DA0524" w:rsidRDefault="00025A78" w:rsidP="00025A78"/>
    <w:sectPr w:rsidR="00025A78" w:rsidRPr="00DA0524">
      <w:pgSz w:w="12240" w:h="15840"/>
      <w:pgMar w:top="171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85885" w:rsidRDefault="00485885">
      <w:pPr>
        <w:spacing w:after="0" w:line="240" w:lineRule="auto"/>
      </w:pPr>
      <w:r>
        <w:separator/>
      </w:r>
    </w:p>
  </w:endnote>
  <w:endnote w:type="continuationSeparator" w:id="0">
    <w:p w:rsidR="00485885" w:rsidRDefault="004858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2002" w:rsidRDefault="005315B6">
    <w:pPr>
      <w:pBdr>
        <w:top w:val="nil"/>
        <w:left w:val="nil"/>
        <w:bottom w:val="nil"/>
        <w:right w:val="nil"/>
        <w:between w:val="nil"/>
      </w:pBdr>
      <w:tabs>
        <w:tab w:val="center" w:pos="4680"/>
        <w:tab w:val="right" w:pos="9360"/>
      </w:tabs>
      <w:spacing w:after="0" w:line="240" w:lineRule="auto"/>
      <w:jc w:val="center"/>
      <w:rPr>
        <w:color w:val="000000"/>
      </w:rPr>
    </w:pPr>
    <w:r>
      <w:rPr>
        <w:color w:val="000000"/>
      </w:rPr>
      <w:t>DRAFT PROPOSAL</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85885" w:rsidRDefault="00485885">
      <w:pPr>
        <w:spacing w:after="0" w:line="240" w:lineRule="auto"/>
      </w:pPr>
      <w:r>
        <w:separator/>
      </w:r>
    </w:p>
  </w:footnote>
  <w:footnote w:type="continuationSeparator" w:id="0">
    <w:p w:rsidR="00485885" w:rsidRDefault="00485885">
      <w:pPr>
        <w:spacing w:after="0" w:line="240" w:lineRule="auto"/>
      </w:pPr>
      <w:r>
        <w:continuationSeparator/>
      </w:r>
    </w:p>
  </w:footnote>
  <w:footnote w:id="1">
    <w:p w:rsidR="00025A78" w:rsidRDefault="00025A78" w:rsidP="00025A78">
      <w:pPr>
        <w:pStyle w:val="FootnoteText"/>
      </w:pPr>
      <w:r>
        <w:rPr>
          <w:rStyle w:val="FootnoteReference"/>
        </w:rPr>
        <w:footnoteRef/>
      </w:r>
      <w:r>
        <w:t xml:space="preserve"> </w:t>
      </w:r>
      <w:r>
        <w:rPr>
          <w:rFonts w:ascii="Arial" w:hAnsi="Arial" w:cs="Arial"/>
          <w:color w:val="212121"/>
          <w:shd w:val="clear" w:color="auto" w:fill="FFFFFF"/>
        </w:rPr>
        <w:t>(5) Educational centers: $1,000,000 for each center described in subdivision (b</w:t>
      </w:r>
      <w:proofErr w:type="gramStart"/>
      <w:r>
        <w:rPr>
          <w:rFonts w:ascii="Arial" w:hAnsi="Arial" w:cs="Arial"/>
          <w:color w:val="212121"/>
          <w:shd w:val="clear" w:color="auto" w:fill="FFFFFF"/>
        </w:rPr>
        <w:t>)(</w:t>
      </w:r>
      <w:proofErr w:type="gramEnd"/>
      <w:r>
        <w:rPr>
          <w:rFonts w:ascii="Arial" w:hAnsi="Arial" w:cs="Arial"/>
          <w:color w:val="212121"/>
          <w:shd w:val="clear" w:color="auto" w:fill="FFFFFF"/>
        </w:rPr>
        <w:t>1) of section 55180 and reporting 1,000 or more FTES. A district is not eligible for the basic allocation revenue provided by this subdivision associated with an educational center that is approved by the Board of Governors on or after May 1, 2008, unless and until the Chancellor determines that the center reported at least 1,000 FTES on the district's most recent final attendance report.</w:t>
      </w:r>
    </w:p>
  </w:footnote>
  <w:footnote w:id="2">
    <w:p w:rsidR="00025A78" w:rsidRDefault="00025A78" w:rsidP="00025A78">
      <w:pPr>
        <w:pStyle w:val="FootnoteText"/>
      </w:pPr>
      <w:r>
        <w:rPr>
          <w:rStyle w:val="FootnoteReference"/>
        </w:rPr>
        <w:footnoteRef/>
      </w:r>
      <w:r>
        <w:t xml:space="preserve"> No predictive model is absolutely accurate. Deference should be paid to the on-the-ground experience of discipline faculty serving their program’s students. However, if a decision is made to ignore predictive data the allocated FTEF should be monitored and evaluated. If the predictive data was correct about demand, it should be followed moving forward. If the intuition of discipline faculty/deans are correct about demand this should be brought to the SEM for an evaluation of the predictive model which was used.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2002" w:rsidRDefault="005315B6">
    <w:pPr>
      <w:spacing w:after="0" w:line="240" w:lineRule="auto"/>
      <w:jc w:val="center"/>
      <w:rPr>
        <w:color w:val="17365D"/>
        <w:sz w:val="52"/>
        <w:szCs w:val="52"/>
      </w:rPr>
    </w:pPr>
    <w:r>
      <w:rPr>
        <w:color w:val="17365D"/>
        <w:sz w:val="52"/>
        <w:szCs w:val="52"/>
      </w:rPr>
      <w:t xml:space="preserve"> Schedule Development Guidelines</w:t>
    </w:r>
    <w:r>
      <w:rPr>
        <w:noProof/>
      </w:rPr>
      <w:drawing>
        <wp:anchor distT="0" distB="0" distL="0" distR="0" simplePos="0" relativeHeight="251658240" behindDoc="0" locked="0" layoutInCell="1" hidden="0" allowOverlap="1">
          <wp:simplePos x="0" y="0"/>
          <wp:positionH relativeFrom="column">
            <wp:posOffset>-104774</wp:posOffset>
          </wp:positionH>
          <wp:positionV relativeFrom="paragraph">
            <wp:posOffset>-133349</wp:posOffset>
          </wp:positionV>
          <wp:extent cx="666750" cy="599463"/>
          <wp:effectExtent l="0" t="0" r="0" b="0"/>
          <wp:wrapSquare wrapText="bothSides" distT="0" distB="0" distL="0" distR="0"/>
          <wp:docPr id="2" name="image1.png" descr="https://lh6.googleusercontent.com/fM3_6MZua6k0YftnAgpZfgFgyaG2yIFBj0Axi1sGJDR0ibp5fcrRO8pFurKd-rXPYavMdoAK2Hqaqab_23qoT6-WTEmHzQU068fIka8xJyoNuhAKX007w4o7I0GcKmmyotFbAnx-WXoDS12ICQ"/>
          <wp:cNvGraphicFramePr/>
          <a:graphic xmlns:a="http://schemas.openxmlformats.org/drawingml/2006/main">
            <a:graphicData uri="http://schemas.openxmlformats.org/drawingml/2006/picture">
              <pic:pic xmlns:pic="http://schemas.openxmlformats.org/drawingml/2006/picture">
                <pic:nvPicPr>
                  <pic:cNvPr id="0" name="image1.png" descr="https://lh6.googleusercontent.com/fM3_6MZua6k0YftnAgpZfgFgyaG2yIFBj0Axi1sGJDR0ibp5fcrRO8pFurKd-rXPYavMdoAK2Hqaqab_23qoT6-WTEmHzQU068fIka8xJyoNuhAKX007w4o7I0GcKmmyotFbAnx-WXoDS12ICQ"/>
                  <pic:cNvPicPr preferRelativeResize="0"/>
                </pic:nvPicPr>
                <pic:blipFill>
                  <a:blip r:embed="rId1"/>
                  <a:srcRect/>
                  <a:stretch>
                    <a:fillRect/>
                  </a:stretch>
                </pic:blipFill>
                <pic:spPr>
                  <a:xfrm>
                    <a:off x="0" y="0"/>
                    <a:ext cx="666750" cy="599463"/>
                  </a:xfrm>
                  <a:prstGeom prst="rect">
                    <a:avLst/>
                  </a:prstGeom>
                  <a:ln/>
                </pic:spPr>
              </pic:pic>
            </a:graphicData>
          </a:graphic>
        </wp:anchor>
      </w:drawing>
    </w:r>
  </w:p>
  <w:p w:rsidR="00862002" w:rsidRDefault="00862002">
    <w:pPr>
      <w:pBdr>
        <w:top w:val="nil"/>
        <w:left w:val="nil"/>
        <w:bottom w:val="nil"/>
        <w:right w:val="nil"/>
        <w:between w:val="nil"/>
      </w:pBdr>
      <w:tabs>
        <w:tab w:val="center" w:pos="4680"/>
        <w:tab w:val="right" w:pos="9360"/>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B70D78"/>
    <w:multiLevelType w:val="multilevel"/>
    <w:tmpl w:val="ED881FB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EBB59D2"/>
    <w:multiLevelType w:val="multilevel"/>
    <w:tmpl w:val="7610B528"/>
    <w:lvl w:ilvl="0">
      <w:start w:val="1"/>
      <w:numFmt w:val="bullet"/>
      <w:lvlText w:val="●"/>
      <w:lvlJc w:val="left"/>
      <w:pPr>
        <w:ind w:left="780" w:hanging="360"/>
      </w:pPr>
      <w:rPr>
        <w:rFonts w:ascii="Noto Sans Symbols" w:eastAsia="Noto Sans Symbols" w:hAnsi="Noto Sans Symbols" w:cs="Noto Sans Symbols"/>
        <w:sz w:val="18"/>
      </w:rPr>
    </w:lvl>
    <w:lvl w:ilvl="1">
      <w:start w:val="1"/>
      <w:numFmt w:val="bullet"/>
      <w:lvlText w:val="o"/>
      <w:lvlJc w:val="left"/>
      <w:pPr>
        <w:ind w:left="1500" w:hanging="360"/>
      </w:pPr>
      <w:rPr>
        <w:rFonts w:ascii="Courier New" w:eastAsia="Courier New" w:hAnsi="Courier New" w:cs="Courier New"/>
      </w:rPr>
    </w:lvl>
    <w:lvl w:ilvl="2">
      <w:start w:val="1"/>
      <w:numFmt w:val="bullet"/>
      <w:lvlText w:val="▪"/>
      <w:lvlJc w:val="left"/>
      <w:pPr>
        <w:ind w:left="2220" w:hanging="360"/>
      </w:pPr>
      <w:rPr>
        <w:rFonts w:ascii="Noto Sans Symbols" w:eastAsia="Noto Sans Symbols" w:hAnsi="Noto Sans Symbols" w:cs="Noto Sans Symbols"/>
      </w:rPr>
    </w:lvl>
    <w:lvl w:ilvl="3">
      <w:start w:val="1"/>
      <w:numFmt w:val="bullet"/>
      <w:lvlText w:val="●"/>
      <w:lvlJc w:val="left"/>
      <w:pPr>
        <w:ind w:left="2940" w:hanging="360"/>
      </w:pPr>
      <w:rPr>
        <w:rFonts w:ascii="Noto Sans Symbols" w:eastAsia="Noto Sans Symbols" w:hAnsi="Noto Sans Symbols" w:cs="Noto Sans Symbols"/>
      </w:rPr>
    </w:lvl>
    <w:lvl w:ilvl="4">
      <w:start w:val="1"/>
      <w:numFmt w:val="bullet"/>
      <w:lvlText w:val="o"/>
      <w:lvlJc w:val="left"/>
      <w:pPr>
        <w:ind w:left="3660" w:hanging="360"/>
      </w:pPr>
      <w:rPr>
        <w:rFonts w:ascii="Courier New" w:eastAsia="Courier New" w:hAnsi="Courier New" w:cs="Courier New"/>
      </w:rPr>
    </w:lvl>
    <w:lvl w:ilvl="5">
      <w:start w:val="1"/>
      <w:numFmt w:val="bullet"/>
      <w:lvlText w:val="▪"/>
      <w:lvlJc w:val="left"/>
      <w:pPr>
        <w:ind w:left="4380" w:hanging="360"/>
      </w:pPr>
      <w:rPr>
        <w:rFonts w:ascii="Noto Sans Symbols" w:eastAsia="Noto Sans Symbols" w:hAnsi="Noto Sans Symbols" w:cs="Noto Sans Symbols"/>
      </w:rPr>
    </w:lvl>
    <w:lvl w:ilvl="6">
      <w:start w:val="1"/>
      <w:numFmt w:val="bullet"/>
      <w:lvlText w:val="●"/>
      <w:lvlJc w:val="left"/>
      <w:pPr>
        <w:ind w:left="5100" w:hanging="360"/>
      </w:pPr>
      <w:rPr>
        <w:rFonts w:ascii="Noto Sans Symbols" w:eastAsia="Noto Sans Symbols" w:hAnsi="Noto Sans Symbols" w:cs="Noto Sans Symbols"/>
      </w:rPr>
    </w:lvl>
    <w:lvl w:ilvl="7">
      <w:start w:val="1"/>
      <w:numFmt w:val="bullet"/>
      <w:lvlText w:val="o"/>
      <w:lvlJc w:val="left"/>
      <w:pPr>
        <w:ind w:left="5820" w:hanging="360"/>
      </w:pPr>
      <w:rPr>
        <w:rFonts w:ascii="Courier New" w:eastAsia="Courier New" w:hAnsi="Courier New" w:cs="Courier New"/>
      </w:rPr>
    </w:lvl>
    <w:lvl w:ilvl="8">
      <w:start w:val="1"/>
      <w:numFmt w:val="bullet"/>
      <w:lvlText w:val="▪"/>
      <w:lvlJc w:val="left"/>
      <w:pPr>
        <w:ind w:left="6540" w:hanging="360"/>
      </w:pPr>
      <w:rPr>
        <w:rFonts w:ascii="Noto Sans Symbols" w:eastAsia="Noto Sans Symbols" w:hAnsi="Noto Sans Symbols" w:cs="Noto Sans Symbols"/>
      </w:rPr>
    </w:lvl>
  </w:abstractNum>
  <w:abstractNum w:abstractNumId="2" w15:restartNumberingAfterBreak="0">
    <w:nsid w:val="17526ADD"/>
    <w:multiLevelType w:val="multilevel"/>
    <w:tmpl w:val="D428C0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A957F3A"/>
    <w:multiLevelType w:val="hybridMultilevel"/>
    <w:tmpl w:val="4290ED4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44B6E4A"/>
    <w:multiLevelType w:val="multilevel"/>
    <w:tmpl w:val="B9824E0E"/>
    <w:lvl w:ilvl="0">
      <w:start w:val="1"/>
      <w:numFmt w:val="bullet"/>
      <w:lvlText w:val="●"/>
      <w:lvlJc w:val="left"/>
      <w:pPr>
        <w:ind w:left="720" w:hanging="360"/>
      </w:pPr>
      <w:rPr>
        <w:rFonts w:ascii="Noto Sans Symbols" w:eastAsia="Noto Sans Symbols" w:hAnsi="Noto Sans Symbols" w:cs="Noto Sans Symbols"/>
        <w:sz w:val="18"/>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3915120C"/>
    <w:multiLevelType w:val="multilevel"/>
    <w:tmpl w:val="01BC0B4C"/>
    <w:lvl w:ilvl="0">
      <w:start w:val="1"/>
      <w:numFmt w:val="decimal"/>
      <w:lvlText w:val="%1."/>
      <w:lvlJc w:val="left"/>
      <w:pPr>
        <w:ind w:left="720" w:hanging="360"/>
      </w:pPr>
      <w:rPr>
        <w:rFonts w:ascii="Times New Roman" w:eastAsia="Times New Roman" w:hAnsi="Times New Roman" w:cs="Times New Roman"/>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735C7108"/>
    <w:multiLevelType w:val="multilevel"/>
    <w:tmpl w:val="09881B24"/>
    <w:lvl w:ilvl="0">
      <w:start w:val="1"/>
      <w:numFmt w:val="decimal"/>
      <w:lvlText w:val="%1."/>
      <w:lvlJc w:val="left"/>
      <w:pPr>
        <w:ind w:left="720" w:hanging="360"/>
      </w:pPr>
      <w:rPr>
        <w:rFonts w:ascii="Times New Roman" w:eastAsia="Times New Roman" w:hAnsi="Times New Roman" w:cs="Times New Roman"/>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74FE73E6"/>
    <w:multiLevelType w:val="multilevel"/>
    <w:tmpl w:val="C3563CB6"/>
    <w:lvl w:ilvl="0">
      <w:start w:val="1"/>
      <w:numFmt w:val="bullet"/>
      <w:lvlText w:val="●"/>
      <w:lvlJc w:val="left"/>
      <w:pPr>
        <w:ind w:left="720" w:hanging="360"/>
      </w:pPr>
      <w:rPr>
        <w:rFonts w:ascii="Noto Sans Symbols" w:eastAsia="Noto Sans Symbols" w:hAnsi="Noto Sans Symbols" w:cs="Noto Sans Symbols"/>
        <w:sz w:val="18"/>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7"/>
  </w:num>
  <w:num w:numId="2">
    <w:abstractNumId w:val="1"/>
  </w:num>
  <w:num w:numId="3">
    <w:abstractNumId w:val="4"/>
  </w:num>
  <w:num w:numId="4">
    <w:abstractNumId w:val="5"/>
  </w:num>
  <w:num w:numId="5">
    <w:abstractNumId w:val="6"/>
  </w:num>
  <w:num w:numId="6">
    <w:abstractNumId w:val="3"/>
  </w:num>
  <w:num w:numId="7">
    <w:abstractNumId w:val="2"/>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62002"/>
    <w:rsid w:val="00025A78"/>
    <w:rsid w:val="00147E9C"/>
    <w:rsid w:val="00431B85"/>
    <w:rsid w:val="00485885"/>
    <w:rsid w:val="005314EE"/>
    <w:rsid w:val="005315B6"/>
    <w:rsid w:val="005401F5"/>
    <w:rsid w:val="005632EB"/>
    <w:rsid w:val="005F2F6D"/>
    <w:rsid w:val="00862002"/>
    <w:rsid w:val="00863650"/>
    <w:rsid w:val="00C16D7C"/>
    <w:rsid w:val="00D856C4"/>
    <w:rsid w:val="00DA05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D76170"/>
  <w15:docId w15:val="{0167AC98-8263-4B30-92D7-943407F2F2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link w:val="Heading2Char"/>
    <w:uiPriority w:val="9"/>
    <w:unhideWhenUsed/>
    <w:qFormat/>
    <w:rsid w:val="00DA0524"/>
    <w:pPr>
      <w:spacing w:after="0" w:line="240" w:lineRule="auto"/>
      <w:outlineLvl w:val="1"/>
    </w:pPr>
    <w:rPr>
      <w:b/>
      <w:color w:val="000000"/>
      <w:sz w:val="28"/>
      <w:szCs w:val="23"/>
    </w:rPr>
  </w:style>
  <w:style w:type="paragraph" w:styleId="Heading3">
    <w:name w:val="heading 3"/>
    <w:basedOn w:val="Normal"/>
    <w:link w:val="Heading3Char"/>
    <w:uiPriority w:val="9"/>
    <w:qFormat/>
    <w:rsid w:val="00DA0524"/>
    <w:pPr>
      <w:spacing w:before="240" w:after="0" w:line="240" w:lineRule="auto"/>
      <w:outlineLvl w:val="2"/>
    </w:pPr>
    <w:rPr>
      <w:b/>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ListParagraph">
    <w:name w:val="List Paragraph"/>
    <w:basedOn w:val="Normal"/>
    <w:uiPriority w:val="34"/>
    <w:qFormat/>
    <w:rsid w:val="000C37AD"/>
    <w:pPr>
      <w:ind w:left="720"/>
      <w:contextualSpacing/>
    </w:pPr>
  </w:style>
  <w:style w:type="character" w:customStyle="1" w:styleId="Heading3Char">
    <w:name w:val="Heading 3 Char"/>
    <w:basedOn w:val="DefaultParagraphFont"/>
    <w:link w:val="Heading3"/>
    <w:uiPriority w:val="9"/>
    <w:rsid w:val="00DA0524"/>
    <w:rPr>
      <w:b/>
    </w:rPr>
  </w:style>
  <w:style w:type="character" w:styleId="Strong">
    <w:name w:val="Strong"/>
    <w:basedOn w:val="DefaultParagraphFont"/>
    <w:uiPriority w:val="22"/>
    <w:qFormat/>
    <w:rsid w:val="000C37AD"/>
    <w:rPr>
      <w:b/>
      <w:bCs/>
    </w:rPr>
  </w:style>
  <w:style w:type="paragraph" w:styleId="NormalWeb">
    <w:name w:val="Normal (Web)"/>
    <w:basedOn w:val="Normal"/>
    <w:uiPriority w:val="99"/>
    <w:unhideWhenUsed/>
    <w:rsid w:val="000C37AD"/>
    <w:pPr>
      <w:spacing w:before="100" w:beforeAutospacing="1" w:after="100" w:afterAutospacing="1" w:line="240" w:lineRule="auto"/>
    </w:pPr>
    <w:rPr>
      <w:sz w:val="24"/>
      <w:szCs w:val="24"/>
    </w:rPr>
  </w:style>
  <w:style w:type="character" w:customStyle="1" w:styleId="Heading2Char">
    <w:name w:val="Heading 2 Char"/>
    <w:basedOn w:val="DefaultParagraphFont"/>
    <w:link w:val="Heading2"/>
    <w:uiPriority w:val="9"/>
    <w:rsid w:val="00DA0524"/>
    <w:rPr>
      <w:b/>
      <w:color w:val="000000"/>
      <w:sz w:val="28"/>
      <w:szCs w:val="23"/>
    </w:rPr>
  </w:style>
  <w:style w:type="paragraph" w:styleId="Header">
    <w:name w:val="header"/>
    <w:basedOn w:val="Normal"/>
    <w:link w:val="HeaderChar"/>
    <w:uiPriority w:val="99"/>
    <w:unhideWhenUsed/>
    <w:rsid w:val="00D57E76"/>
    <w:pPr>
      <w:tabs>
        <w:tab w:val="center" w:pos="4680"/>
        <w:tab w:val="right" w:pos="9360"/>
      </w:tabs>
      <w:spacing w:after="0" w:line="240" w:lineRule="auto"/>
    </w:pPr>
  </w:style>
  <w:style w:type="character" w:customStyle="1" w:styleId="HeaderChar">
    <w:name w:val="Header Char"/>
    <w:basedOn w:val="DefaultParagraphFont"/>
    <w:link w:val="Header"/>
    <w:uiPriority w:val="99"/>
    <w:rsid w:val="00D57E76"/>
  </w:style>
  <w:style w:type="paragraph" w:styleId="Footer">
    <w:name w:val="footer"/>
    <w:basedOn w:val="Normal"/>
    <w:link w:val="FooterChar"/>
    <w:uiPriority w:val="99"/>
    <w:unhideWhenUsed/>
    <w:rsid w:val="00D57E76"/>
    <w:pPr>
      <w:tabs>
        <w:tab w:val="center" w:pos="4680"/>
        <w:tab w:val="right" w:pos="9360"/>
      </w:tabs>
      <w:spacing w:after="0" w:line="240" w:lineRule="auto"/>
    </w:pPr>
  </w:style>
  <w:style w:type="character" w:customStyle="1" w:styleId="FooterChar">
    <w:name w:val="Footer Char"/>
    <w:basedOn w:val="DefaultParagraphFont"/>
    <w:link w:val="Footer"/>
    <w:uiPriority w:val="99"/>
    <w:rsid w:val="00D57E76"/>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paragraph" w:styleId="FootnoteText">
    <w:name w:val="footnote text"/>
    <w:basedOn w:val="Normal"/>
    <w:link w:val="FootnoteTextChar"/>
    <w:uiPriority w:val="99"/>
    <w:semiHidden/>
    <w:unhideWhenUsed/>
    <w:rsid w:val="00431B8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31B85"/>
    <w:rPr>
      <w:sz w:val="20"/>
      <w:szCs w:val="20"/>
    </w:rPr>
  </w:style>
  <w:style w:type="character" w:styleId="FootnoteReference">
    <w:name w:val="footnote reference"/>
    <w:basedOn w:val="DefaultParagraphFont"/>
    <w:uiPriority w:val="99"/>
    <w:semiHidden/>
    <w:unhideWhenUsed/>
    <w:rsid w:val="00431B8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1748804">
      <w:bodyDiv w:val="1"/>
      <w:marLeft w:val="0"/>
      <w:marRight w:val="0"/>
      <w:marTop w:val="0"/>
      <w:marBottom w:val="0"/>
      <w:divBdr>
        <w:top w:val="none" w:sz="0" w:space="0" w:color="auto"/>
        <w:left w:val="none" w:sz="0" w:space="0" w:color="auto"/>
        <w:bottom w:val="none" w:sz="0" w:space="0" w:color="auto"/>
        <w:right w:val="none" w:sz="0" w:space="0" w:color="auto"/>
      </w:divBdr>
    </w:div>
    <w:div w:id="595525962">
      <w:bodyDiv w:val="1"/>
      <w:marLeft w:val="0"/>
      <w:marRight w:val="0"/>
      <w:marTop w:val="0"/>
      <w:marBottom w:val="0"/>
      <w:divBdr>
        <w:top w:val="none" w:sz="0" w:space="0" w:color="auto"/>
        <w:left w:val="none" w:sz="0" w:space="0" w:color="auto"/>
        <w:bottom w:val="none" w:sz="0" w:space="0" w:color="auto"/>
        <w:right w:val="none" w:sz="0" w:space="0" w:color="auto"/>
      </w:divBdr>
    </w:div>
    <w:div w:id="1916083605">
      <w:bodyDiv w:val="1"/>
      <w:marLeft w:val="0"/>
      <w:marRight w:val="0"/>
      <w:marTop w:val="0"/>
      <w:marBottom w:val="0"/>
      <w:divBdr>
        <w:top w:val="none" w:sz="0" w:space="0" w:color="auto"/>
        <w:left w:val="none" w:sz="0" w:space="0" w:color="auto"/>
        <w:bottom w:val="none" w:sz="0" w:space="0" w:color="auto"/>
        <w:right w:val="none" w:sz="0" w:space="0" w:color="auto"/>
      </w:divBdr>
    </w:div>
    <w:div w:id="213517040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XOVjHJV0tKY1aIrb7IQMxPE5S3w==">AMUW2mXsjnmQiQwMSowHU5zSmoNrd9EDRCU4nSkAi5pnEAw7RCrXWnTuOS2ediJrl/99RntX6SW2KhKqAmaSsoj2+o+3kFyc+YGpoRDK2cL5Qiepl2u0NmDl+LKS+GQ+tkc9AttM2lB8</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28F4FA8F-D675-4B93-A18A-5251CBC04B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542</TotalTime>
  <Pages>5</Pages>
  <Words>1833</Words>
  <Characters>10450</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American River College</Company>
  <LinksUpToDate>false</LinksUpToDate>
  <CharactersWithSpaces>12259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Braden, Charles</dc:creator>
  <cp:lastModifiedBy>Braden, Charles</cp:lastModifiedBy>
  <cp:revision>6</cp:revision>
  <dcterms:created xsi:type="dcterms:W3CDTF">2019-10-24T19:16:00Z</dcterms:created>
  <dcterms:modified xsi:type="dcterms:W3CDTF">2019-11-18T19:44:00Z</dcterms:modified>
</cp:coreProperties>
</file>